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29482">
      <w:pPr>
        <w:jc w:val="center"/>
        <w:rPr>
          <w:rFonts w:ascii="楷体" w:hAnsi="楷体" w:eastAsia="楷体"/>
          <w:b/>
          <w:color w:val="000000" w:themeColor="text1"/>
          <w:sz w:val="44"/>
          <w:szCs w:val="44"/>
          <w:u w:val="none"/>
          <w14:textFill>
            <w14:solidFill>
              <w14:schemeClr w14:val="tx1"/>
            </w14:solidFill>
          </w14:textFill>
        </w:rPr>
      </w:pPr>
    </w:p>
    <w:p w14:paraId="5B364E8D">
      <w:pPr>
        <w:pStyle w:val="3"/>
        <w:rPr>
          <w:rFonts w:hint="eastAsia"/>
          <w:color w:val="000000" w:themeColor="text1"/>
          <w:u w:val="none"/>
          <w14:textFill>
            <w14:solidFill>
              <w14:schemeClr w14:val="tx1"/>
            </w14:solidFill>
          </w14:textFill>
        </w:rPr>
      </w:pPr>
    </w:p>
    <w:p w14:paraId="50A9AEBC">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eastAsia" w:ascii="方正小标宋简体" w:hAnsi="方正小标宋简体" w:eastAsia="方正小标宋简体" w:cs="方正小标宋简体"/>
          <w:color w:val="000000" w:themeColor="text1"/>
          <w:spacing w:val="57"/>
          <w:kern w:val="36"/>
          <w:sz w:val="72"/>
          <w:szCs w:val="72"/>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57"/>
          <w:kern w:val="36"/>
          <w:sz w:val="72"/>
          <w:szCs w:val="72"/>
          <w:u w:val="none"/>
          <w:lang w:val="en-US" w:eastAsia="zh-CN"/>
          <w14:textFill>
            <w14:solidFill>
              <w14:schemeClr w14:val="tx1"/>
            </w14:solidFill>
          </w14:textFill>
        </w:rPr>
        <w:t>博士后科研流动站</w:t>
      </w:r>
    </w:p>
    <w:p w14:paraId="5E22B3E7">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eastAsia" w:ascii="方正小标宋简体" w:hAnsi="方正小标宋简体" w:eastAsia="方正小标宋简体" w:cs="方正小标宋简体"/>
          <w:color w:val="000000" w:themeColor="text1"/>
          <w:spacing w:val="0"/>
          <w:kern w:val="36"/>
          <w:sz w:val="72"/>
          <w:szCs w:val="72"/>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36"/>
          <w:sz w:val="72"/>
          <w:szCs w:val="72"/>
          <w:u w:val="none"/>
          <w:lang w:val="en-US" w:eastAsia="zh-CN"/>
          <w14:textFill>
            <w14:solidFill>
              <w14:schemeClr w14:val="tx1"/>
            </w14:solidFill>
          </w14:textFill>
        </w:rPr>
        <w:t>简介和联系方式</w:t>
      </w:r>
    </w:p>
    <w:p w14:paraId="7B307309">
      <w:pPr>
        <w:pStyle w:val="3"/>
        <w:rPr>
          <w:rFonts w:hint="eastAsia"/>
          <w:color w:val="000000" w:themeColor="text1"/>
          <w:u w:val="none"/>
          <w:lang w:val="en-US" w:eastAsia="zh-CN"/>
          <w14:textFill>
            <w14:solidFill>
              <w14:schemeClr w14:val="tx1"/>
            </w14:solidFill>
          </w14:textFill>
        </w:rPr>
      </w:pPr>
    </w:p>
    <w:p w14:paraId="0A697491">
      <w:pPr>
        <w:rPr>
          <w:rFonts w:hint="eastAsia"/>
          <w:color w:val="000000" w:themeColor="text1"/>
          <w:u w:val="none"/>
          <w:lang w:val="en-US" w:eastAsia="zh-CN"/>
          <w14:textFill>
            <w14:solidFill>
              <w14:schemeClr w14:val="tx1"/>
            </w14:solidFill>
          </w14:textFill>
        </w:rPr>
      </w:pPr>
    </w:p>
    <w:p w14:paraId="2EA8071F">
      <w:pPr>
        <w:pStyle w:val="3"/>
        <w:rPr>
          <w:rFonts w:hint="eastAsia"/>
          <w:color w:val="000000" w:themeColor="text1"/>
          <w:u w:val="none"/>
          <w:lang w:val="en-US" w:eastAsia="zh-CN"/>
          <w14:textFill>
            <w14:solidFill>
              <w14:schemeClr w14:val="tx1"/>
            </w14:solidFill>
          </w14:textFill>
        </w:rPr>
      </w:pPr>
      <w:r>
        <w:rPr>
          <w:rFonts w:ascii="Microsoft YaHei UI" w:hAnsi="Microsoft YaHei UI" w:eastAsia="Microsoft YaHei UI" w:cs="宋体"/>
          <w:color w:val="000000" w:themeColor="text1"/>
          <w:spacing w:val="0"/>
          <w:kern w:val="0"/>
          <w:sz w:val="24"/>
          <w:szCs w:val="24"/>
          <w:u w:val="none"/>
          <w14:textFill>
            <w14:solidFill>
              <w14:schemeClr w14:val="tx1"/>
            </w14:solidFill>
          </w14:textFill>
        </w:rPr>
        <w:drawing>
          <wp:anchor distT="0" distB="0" distL="0" distR="0" simplePos="0" relativeHeight="251659264" behindDoc="0" locked="0" layoutInCell="1" allowOverlap="1">
            <wp:simplePos x="0" y="0"/>
            <wp:positionH relativeFrom="column">
              <wp:posOffset>1450340</wp:posOffset>
            </wp:positionH>
            <wp:positionV relativeFrom="paragraph">
              <wp:posOffset>223520</wp:posOffset>
            </wp:positionV>
            <wp:extent cx="2190115" cy="2275840"/>
            <wp:effectExtent l="0" t="0" r="0" b="0"/>
            <wp:wrapNone/>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0115" cy="2275840"/>
                    </a:xfrm>
                    <a:prstGeom prst="rect">
                      <a:avLst/>
                    </a:prstGeom>
                    <a:noFill/>
                    <a:ln>
                      <a:noFill/>
                    </a:ln>
                  </pic:spPr>
                </pic:pic>
              </a:graphicData>
            </a:graphic>
          </wp:anchor>
        </w:drawing>
      </w:r>
    </w:p>
    <w:p w14:paraId="68130D6F">
      <w:pPr>
        <w:rPr>
          <w:rFonts w:hint="eastAsia"/>
          <w:color w:val="000000" w:themeColor="text1"/>
          <w:u w:val="none"/>
          <w:lang w:val="en-US" w:eastAsia="zh-CN"/>
          <w14:textFill>
            <w14:solidFill>
              <w14:schemeClr w14:val="tx1"/>
            </w14:solidFill>
          </w14:textFill>
        </w:rPr>
      </w:pPr>
    </w:p>
    <w:p w14:paraId="6F087C6E">
      <w:pPr>
        <w:pStyle w:val="3"/>
        <w:rPr>
          <w:rFonts w:hint="eastAsia"/>
          <w:color w:val="000000" w:themeColor="text1"/>
          <w:u w:val="none"/>
          <w:lang w:val="en-US" w:eastAsia="zh-CN"/>
          <w14:textFill>
            <w14:solidFill>
              <w14:schemeClr w14:val="tx1"/>
            </w14:solidFill>
          </w14:textFill>
        </w:rPr>
      </w:pPr>
    </w:p>
    <w:p w14:paraId="10E3101C">
      <w:pPr>
        <w:rPr>
          <w:rFonts w:hint="eastAsia"/>
          <w:color w:val="000000" w:themeColor="text1"/>
          <w:u w:val="none"/>
          <w:lang w:val="en-US" w:eastAsia="zh-CN"/>
          <w14:textFill>
            <w14:solidFill>
              <w14:schemeClr w14:val="tx1"/>
            </w14:solidFill>
          </w14:textFill>
        </w:rPr>
      </w:pPr>
    </w:p>
    <w:p w14:paraId="2F65E60B">
      <w:pPr>
        <w:pStyle w:val="3"/>
        <w:rPr>
          <w:rFonts w:hint="eastAsia"/>
          <w:color w:val="000000" w:themeColor="text1"/>
          <w:u w:val="none"/>
          <w:lang w:val="en-US" w:eastAsia="zh-CN"/>
          <w14:textFill>
            <w14:solidFill>
              <w14:schemeClr w14:val="tx1"/>
            </w14:solidFill>
          </w14:textFill>
        </w:rPr>
      </w:pPr>
    </w:p>
    <w:p w14:paraId="24B83B6E">
      <w:pPr>
        <w:rPr>
          <w:rFonts w:hint="eastAsia"/>
          <w:color w:val="000000" w:themeColor="text1"/>
          <w:u w:val="none"/>
          <w:lang w:val="en-US" w:eastAsia="zh-CN"/>
          <w14:textFill>
            <w14:solidFill>
              <w14:schemeClr w14:val="tx1"/>
            </w14:solidFill>
          </w14:textFill>
        </w:rPr>
      </w:pPr>
    </w:p>
    <w:p w14:paraId="4B02E3EB">
      <w:pPr>
        <w:pStyle w:val="3"/>
        <w:rPr>
          <w:rFonts w:hint="eastAsia"/>
          <w:color w:val="000000" w:themeColor="text1"/>
          <w:u w:val="none"/>
          <w:lang w:val="en-US" w:eastAsia="zh-CN"/>
          <w14:textFill>
            <w14:solidFill>
              <w14:schemeClr w14:val="tx1"/>
            </w14:solidFill>
          </w14:textFill>
        </w:rPr>
      </w:pPr>
    </w:p>
    <w:p w14:paraId="437DCEE3">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楷体_GB2312" w:hAnsi="楷体_GB2312" w:eastAsia="楷体_GB2312" w:cs="楷体_GB2312"/>
          <w:b/>
          <w:bCs w:val="0"/>
          <w:color w:val="000000" w:themeColor="text1"/>
          <w:sz w:val="44"/>
          <w:szCs w:val="44"/>
          <w:u w:val="none"/>
          <w:lang w:eastAsia="zh-CN"/>
          <w14:textFill>
            <w14:solidFill>
              <w14:schemeClr w14:val="tx1"/>
            </w14:solidFill>
          </w14:textFill>
        </w:rPr>
      </w:pPr>
      <w:bookmarkStart w:id="0" w:name="_GoBack"/>
      <w:bookmarkEnd w:id="0"/>
    </w:p>
    <w:p w14:paraId="742D86E8">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eastAsia" w:ascii="方正小标宋简体" w:hAnsi="方正小标宋简体" w:eastAsia="方正小标宋简体" w:cs="方正小标宋简体"/>
          <w:color w:val="000000" w:themeColor="text1"/>
          <w:spacing w:val="0"/>
          <w:kern w:val="36"/>
          <w:sz w:val="44"/>
          <w:szCs w:val="44"/>
          <w:u w:val="none"/>
          <w:lang w:val="en-US" w:eastAsia="zh-CN"/>
          <w14:textFill>
            <w14:solidFill>
              <w14:schemeClr w14:val="tx1"/>
            </w14:solidFill>
          </w14:textFill>
        </w:rPr>
      </w:pPr>
    </w:p>
    <w:p w14:paraId="6B676BAD">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eastAsia" w:ascii="方正小标宋简体" w:hAnsi="方正小标宋简体" w:eastAsia="方正小标宋简体" w:cs="方正小标宋简体"/>
          <w:color w:val="000000" w:themeColor="text1"/>
          <w:spacing w:val="0"/>
          <w:kern w:val="36"/>
          <w:sz w:val="44"/>
          <w:szCs w:val="44"/>
          <w:u w:val="none"/>
          <w:lang w:val="en-US" w:eastAsia="zh-CN"/>
          <w14:textFill>
            <w14:solidFill>
              <w14:schemeClr w14:val="tx1"/>
            </w14:solidFill>
          </w14:textFill>
        </w:rPr>
      </w:pPr>
    </w:p>
    <w:p w14:paraId="12BCB01D">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eastAsia" w:ascii="方正小标宋简体" w:hAnsi="方正小标宋简体" w:eastAsia="方正小标宋简体" w:cs="方正小标宋简体"/>
          <w:color w:val="000000" w:themeColor="text1"/>
          <w:spacing w:val="0"/>
          <w:kern w:val="36"/>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36"/>
          <w:sz w:val="44"/>
          <w:szCs w:val="44"/>
          <w:u w:val="none"/>
          <w:lang w:val="en-US" w:eastAsia="zh-CN"/>
          <w14:textFill>
            <w14:solidFill>
              <w14:schemeClr w14:val="tx1"/>
            </w14:solidFill>
          </w14:textFill>
        </w:rPr>
        <w:t>二〇二六年三月</w:t>
      </w:r>
    </w:p>
    <w:p w14:paraId="5F2C54ED">
      <w:pPr>
        <w:keepNext w:val="0"/>
        <w:keepLines w:val="0"/>
        <w:pageBreakBefore w:val="0"/>
        <w:widowControl w:val="0"/>
        <w:shd w:val="clear" w:color="auto" w:fill="FFFFFF"/>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0"/>
        <w:rPr>
          <w:rFonts w:hint="default" w:ascii="方正小标宋简体" w:hAnsi="方正小标宋简体" w:eastAsia="方正小标宋简体" w:cs="方正小标宋简体"/>
          <w:color w:val="000000" w:themeColor="text1"/>
          <w:spacing w:val="0"/>
          <w:kern w:val="36"/>
          <w:sz w:val="44"/>
          <w:szCs w:val="44"/>
          <w:u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FE05597">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0" w:firstLineChars="0"/>
        <w:jc w:val="center"/>
        <w:textAlignment w:val="auto"/>
        <w:rPr>
          <w:rFonts w:hint="default" w:ascii="方正小标宋简体" w:hAnsi="方正小标宋简体" w:eastAsia="方正小标宋简体" w:cs="方正小标宋简体"/>
          <w:b w:val="0"/>
          <w:bCs w:val="0"/>
          <w:color w:val="000000" w:themeColor="text1"/>
          <w:spacing w:val="0"/>
          <w:kern w:val="0"/>
          <w:sz w:val="44"/>
          <w:szCs w:val="44"/>
          <w:u w:val="none"/>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0"/>
          <w:kern w:val="0"/>
          <w:sz w:val="44"/>
          <w:szCs w:val="44"/>
          <w:u w:val="none"/>
          <w14:textFill>
            <w14:solidFill>
              <w14:schemeClr w14:val="tx1"/>
            </w14:solidFill>
          </w14:textFill>
        </w:rPr>
        <w:t>博士后科研流动站简介和联系方式</w:t>
      </w:r>
    </w:p>
    <w:p w14:paraId="262B1F0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p>
    <w:p w14:paraId="5792E217">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000000" w:themeColor="text1"/>
          <w:spacing w:val="0"/>
          <w:kern w:val="0"/>
          <w:sz w:val="30"/>
          <w:szCs w:val="28"/>
          <w:u w:val="none"/>
          <w:shd w:val="clear" w:color="FFFFFF" w:fill="D9D9D9"/>
          <w14:textFill>
            <w14:solidFill>
              <w14:schemeClr w14:val="tx1"/>
            </w14:solidFill>
          </w14:textFill>
        </w:rPr>
      </w:pPr>
      <w:r>
        <w:rPr>
          <w:rFonts w:hint="eastAsia" w:ascii="黑体" w:hAnsi="黑体" w:eastAsia="黑体" w:cs="黑体"/>
          <w:b/>
          <w:bCs/>
          <w:color w:val="000000" w:themeColor="text1"/>
          <w:spacing w:val="0"/>
          <w:kern w:val="0"/>
          <w:sz w:val="30"/>
          <w:szCs w:val="28"/>
          <w:u w:val="none"/>
          <w:shd w:val="clear" w:color="FFFFFF" w:fill="D9D9D9"/>
          <w14:textFill>
            <w14:solidFill>
              <w14:schemeClr w14:val="tx1"/>
            </w14:solidFill>
          </w14:textFill>
        </w:rPr>
        <w:t>材料科学与工程博士后科研流动站</w:t>
      </w:r>
    </w:p>
    <w:p w14:paraId="20061FD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38B447A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物理与材料学院是江西省唯一的国家“双一流”建设学科所在学院。2022年元月，在学校新一轮学科调整背景下，由原材料科学与工程学院与原物理系融合建立。学院现有材料科学与工程和物理学两个一级学科博士点，有物理学、材料科学与工程、光学工程、天文学四个一级硕士点；拥有材料物理与化学国家重点学科，设立材料科学与工程一级学科博士后科研流动站。材料科学与工程学科是江西省唯一的国家“双一流”建设学科</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。学院现有在校本科学生1714名，硕士、博士研究生1162名，目前已形成一支以中国科学院院士江风益教授为学术领军人、由包括61名教授在内的207名专任教学科研人员组成的优秀师资队伍。</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学院教学和科研场地超过3万平米，拥有国家硅基LED工程技术研究中心、物理国家实验教学示范中心、大学物理实验课程国家级虚拟教研室、中国物理学会科普教育基地（江西省唯一）和江西省二维功能材料及器</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件重点实验室、江西省聚变能与信息控制重点实验室、 江西省先进功能薄膜材料工程实验室等多个省部级重点教学科研平台。历年来，学院围绕学科发展前沿、以国家战略和地方经济发展重大需求为牵引，开展原创性、前瞻性的基础和应用研究，在半导体照明领域实现了“卡脖子”关键技术的重大突破，并产生了一批标志性的科研成果，其中“硅衬底高光效GaN基蓝色发光二极管”获2015年度唯一的国家技术发明奖一等奖。</w:t>
      </w:r>
    </w:p>
    <w:p w14:paraId="5DDC4E6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1FF06F5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材料物理与化学、材料学、材料加工工程、高分子科学与工程、微纳米材料科学与工程等。</w:t>
      </w:r>
    </w:p>
    <w:p w14:paraId="70FFCC5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4D686F4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张深根</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w:t>
      </w:r>
    </w:p>
    <w:p w14:paraId="349126A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孙庆华</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w:t>
      </w:r>
    </w:p>
    <w:p w14:paraId="28FA7D6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电话：0791-83969553    </w:t>
      </w:r>
    </w:p>
    <w:p w14:paraId="0909394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Sunqh@ncu.edu.cn</w:t>
      </w:r>
    </w:p>
    <w:p w14:paraId="10EB3A5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网址：http://spms.ncu.edu.cn/</w:t>
      </w:r>
    </w:p>
    <w:p w14:paraId="64E3771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pPr>
    </w:p>
    <w:p w14:paraId="75848C48">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食品科学与工程博士后科研流动站</w:t>
      </w:r>
    </w:p>
    <w:p w14:paraId="53AD33E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7FABA4EE">
      <w:pPr>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南昌大学食品科学与工程博士后科研流动站依托食品学院建设，于2003年</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获</w:t>
      </w:r>
      <w:r>
        <w:rPr>
          <w:rFonts w:ascii="Times New Roman" w:hAnsi="Times New Roman" w:eastAsia="仿宋_GB2312" w:cs="Times New Roman"/>
          <w:color w:val="000000" w:themeColor="text1"/>
          <w:kern w:val="0"/>
          <w:sz w:val="28"/>
          <w:szCs w:val="28"/>
          <w:u w:val="none"/>
          <w14:textFill>
            <w14:solidFill>
              <w14:schemeClr w14:val="tx1"/>
            </w14:solidFill>
          </w14:textFill>
        </w:rPr>
        <w:t>批准设立。本流动站拥有食品科学与资源挖掘全国重点实验室、农产品生物高效转化技术国家地方联合工程研究中心、中加食品科学与技术联合实验室等6个国家级科研平台。食品科学学科为国家重点学科、</w:t>
      </w: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u w:val="none"/>
          <w14:textFill>
            <w14:solidFill>
              <w14:schemeClr w14:val="tx1"/>
            </w14:solidFill>
          </w14:textFill>
        </w:rPr>
        <w:t>211工程</w:t>
      </w: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u w:val="none"/>
          <w14:textFill>
            <w14:solidFill>
              <w14:schemeClr w14:val="tx1"/>
            </w14:solidFill>
          </w14:textFill>
        </w:rPr>
        <w:t xml:space="preserve"> 重点建设学科及江西省重点建设学科</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；食品科学与工程学科</w:t>
      </w:r>
      <w:r>
        <w:rPr>
          <w:rFonts w:ascii="Times New Roman" w:hAnsi="Times New Roman" w:eastAsia="仿宋_GB2312" w:cs="Times New Roman"/>
          <w:color w:val="000000" w:themeColor="text1"/>
          <w:kern w:val="0"/>
          <w:sz w:val="28"/>
          <w:szCs w:val="28"/>
          <w:u w:val="none"/>
          <w14:textFill>
            <w14:solidFill>
              <w14:schemeClr w14:val="tx1"/>
            </w14:solidFill>
          </w14:textFill>
        </w:rPr>
        <w:t>在教育部第四轮学科评估中获评 A 类，第五轮学科评估实现历史性突破</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，成为江西省唯一入选最高等级的学科</w:t>
      </w:r>
      <w:r>
        <w:rPr>
          <w:rFonts w:ascii="Times New Roman" w:hAnsi="Times New Roman" w:eastAsia="仿宋_GB2312" w:cs="Times New Roman"/>
          <w:color w:val="000000" w:themeColor="text1"/>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截至2025年12月，南昌大学农业科学学科（以食品为主）进入ESI全球排名前0.2135‰</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流动站拥有中国工程院院士等省部级以上高层次人才称号189人次，其中国家级人才称号60人次，</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博士生导师</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近百</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 xml:space="preserve">名，其中食品科学与工程教师团队入选第二批 </w:t>
      </w:r>
      <w:r>
        <w:rPr>
          <w:rFonts w:hint="eastAsia" w:ascii="Times New Roman" w:hAnsi="Times New Roman" w:eastAsia="仿宋_GB2312" w:cs="Times New Roman"/>
          <w:color w:val="000000" w:themeColor="text1"/>
          <w:kern w:val="0"/>
          <w:sz w:val="28"/>
          <w:szCs w:val="28"/>
          <w:highlight w:val="none"/>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全国高校黄大年式教师团队</w:t>
      </w:r>
      <w:r>
        <w:rPr>
          <w:rFonts w:hint="eastAsia" w:ascii="Times New Roman" w:hAnsi="Times New Roman" w:eastAsia="仿宋_GB2312" w:cs="Times New Roman"/>
          <w:color w:val="000000" w:themeColor="text1"/>
          <w:kern w:val="0"/>
          <w:sz w:val="28"/>
          <w:szCs w:val="28"/>
          <w:highlight w:val="none"/>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近五年来新增国家级科研项</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目200余项，包含国家重点研发计划项目、国家自然科学基金重点项目、国际（地区）合作与交流重点项目等，科研项目总经费超4亿元。共同发起创办的国际学术期刊Food Frontiers被ESCI数据库收录（IF 6.9）。以第一作者（合作单位）在Cell发表论文，实现学科CNS正刊的突破。</w:t>
      </w:r>
      <w:r>
        <w:rPr>
          <w:rFonts w:ascii="Times New Roman" w:hAnsi="Times New Roman" w:eastAsia="仿宋_GB2312" w:cs="Times New Roman"/>
          <w:color w:val="000000" w:themeColor="text1"/>
          <w:kern w:val="0"/>
          <w:sz w:val="28"/>
          <w:szCs w:val="28"/>
          <w:u w:val="none"/>
          <w14:textFill>
            <w14:solidFill>
              <w14:schemeClr w14:val="tx1"/>
            </w14:solidFill>
          </w14:textFill>
        </w:rPr>
        <w:t>自2014年起，每年均荣获至少一项省级及以上科技成果一等奖，其中包括两项国家科技进步二等奖。</w:t>
      </w:r>
    </w:p>
    <w:p w14:paraId="33BEEB8D">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2.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研究方向：</w:t>
      </w:r>
    </w:p>
    <w:tbl>
      <w:tblPr>
        <w:tblStyle w:val="7"/>
        <w:tblW w:w="84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389"/>
        <w:gridCol w:w="7090"/>
      </w:tblGrid>
      <w:tr w14:paraId="18F18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4" w:hRule="atLeast"/>
          <w:jc w:val="center"/>
        </w:trPr>
        <w:tc>
          <w:tcPr>
            <w:tcW w:w="1389" w:type="dxa"/>
            <w:tcBorders>
              <w:top w:val="single" w:color="auto" w:sz="4" w:space="0"/>
              <w:left w:val="single" w:color="auto" w:sz="4" w:space="0"/>
              <w:bottom w:val="nil"/>
              <w:right w:val="single" w:color="000000" w:sz="4" w:space="0"/>
            </w:tcBorders>
            <w:tcMar>
              <w:top w:w="10" w:type="dxa"/>
              <w:left w:w="10" w:type="dxa"/>
              <w:bottom w:w="0" w:type="dxa"/>
              <w:right w:w="10" w:type="dxa"/>
            </w:tcMar>
            <w:vAlign w:val="center"/>
          </w:tcPr>
          <w:p w14:paraId="3369973C">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firstLine="0" w:firstLineChars="0"/>
              <w:jc w:val="center"/>
              <w:textAlignment w:val="center"/>
              <w:rPr>
                <w:rFonts w:ascii="方正仿宋简体" w:hAnsi="仿宋" w:eastAsia="方正仿宋简体" w:cs="仿宋"/>
                <w:b/>
                <w:bCs w:val="0"/>
                <w:color w:val="000000" w:themeColor="text1"/>
                <w:sz w:val="28"/>
                <w:szCs w:val="28"/>
                <w:u w:val="none"/>
                <w14:textFill>
                  <w14:solidFill>
                    <w14:schemeClr w14:val="tx1"/>
                  </w14:solidFill>
                </w14:textFill>
              </w:rPr>
            </w:pPr>
            <w:r>
              <w:rPr>
                <w:rFonts w:hint="eastAsia" w:ascii="方正仿宋简体" w:hAnsi="仿宋" w:eastAsia="方正仿宋简体" w:cs="仿宋"/>
                <w:b/>
                <w:bCs w:val="0"/>
                <w:color w:val="000000" w:themeColor="text1"/>
                <w:sz w:val="28"/>
                <w:szCs w:val="28"/>
                <w:u w:val="none"/>
                <w14:textFill>
                  <w14:solidFill>
                    <w14:schemeClr w14:val="tx1"/>
                  </w14:solidFill>
                </w14:textFill>
              </w:rPr>
              <w:t>名称</w:t>
            </w:r>
          </w:p>
        </w:tc>
        <w:tc>
          <w:tcPr>
            <w:tcW w:w="7090" w:type="dxa"/>
            <w:tcBorders>
              <w:top w:val="single" w:color="auto" w:sz="4" w:space="0"/>
              <w:left w:val="single" w:color="000000" w:sz="4" w:space="0"/>
              <w:bottom w:val="single" w:color="000000" w:sz="4" w:space="0"/>
              <w:right w:val="single" w:color="auto" w:sz="4" w:space="0"/>
            </w:tcBorders>
            <w:tcMar>
              <w:top w:w="10" w:type="dxa"/>
              <w:left w:w="10" w:type="dxa"/>
              <w:bottom w:w="0" w:type="dxa"/>
              <w:right w:w="10" w:type="dxa"/>
            </w:tcMar>
            <w:vAlign w:val="center"/>
          </w:tcPr>
          <w:p w14:paraId="6590C692">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firstLine="0" w:firstLineChars="0"/>
              <w:jc w:val="center"/>
              <w:textAlignment w:val="center"/>
              <w:rPr>
                <w:rFonts w:hint="eastAsia" w:ascii="方正仿宋简体" w:hAnsi="仿宋" w:eastAsia="方正仿宋简体" w:cs="仿宋"/>
                <w:b/>
                <w:bCs w:val="0"/>
                <w:color w:val="000000" w:themeColor="text1"/>
                <w:sz w:val="28"/>
                <w:szCs w:val="28"/>
                <w:u w:val="none"/>
                <w14:textFill>
                  <w14:solidFill>
                    <w14:schemeClr w14:val="tx1"/>
                  </w14:solidFill>
                </w14:textFill>
              </w:rPr>
            </w:pPr>
            <w:r>
              <w:rPr>
                <w:rFonts w:hint="eastAsia" w:ascii="方正仿宋简体" w:hAnsi="仿宋" w:eastAsia="方正仿宋简体" w:cs="仿宋"/>
                <w:b/>
                <w:bCs w:val="0"/>
                <w:color w:val="000000" w:themeColor="text1"/>
                <w:sz w:val="28"/>
                <w:szCs w:val="28"/>
                <w:u w:val="none"/>
                <w14:textFill>
                  <w14:solidFill>
                    <w14:schemeClr w14:val="tx1"/>
                  </w14:solidFill>
                </w14:textFill>
              </w:rPr>
              <w:t>主要研究内容</w:t>
            </w:r>
          </w:p>
        </w:tc>
      </w:tr>
      <w:tr w14:paraId="5E9C4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5" w:hRule="atLeast"/>
          <w:jc w:val="center"/>
        </w:trPr>
        <w:tc>
          <w:tcPr>
            <w:tcW w:w="1389" w:type="dxa"/>
            <w:tcBorders>
              <w:top w:val="single" w:color="000000" w:sz="4" w:space="0"/>
              <w:left w:val="single" w:color="auto"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54705982">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食品科学</w:t>
            </w:r>
          </w:p>
        </w:tc>
        <w:tc>
          <w:tcPr>
            <w:tcW w:w="7090" w:type="dxa"/>
            <w:tcBorders>
              <w:top w:val="single" w:color="000000" w:sz="4" w:space="0"/>
              <w:left w:val="single" w:color="000000" w:sz="4" w:space="0"/>
              <w:bottom w:val="single" w:color="000000" w:sz="4" w:space="0"/>
              <w:right w:val="single" w:color="auto" w:sz="4" w:space="0"/>
            </w:tcBorders>
            <w:shd w:val="clear" w:color="auto" w:fill="FFFFFF"/>
            <w:tcMar>
              <w:top w:w="10" w:type="dxa"/>
              <w:left w:w="10" w:type="dxa"/>
              <w:bottom w:w="0" w:type="dxa"/>
              <w:right w:w="10" w:type="dxa"/>
            </w:tcMar>
            <w:vAlign w:val="center"/>
          </w:tcPr>
          <w:p w14:paraId="1E7D8313">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 xml:space="preserve">着重研究食品的物理、化学及生化性质，食品加工与贮藏原理及其工艺，食品分析检测技术，食品新资源开发与综合利用，食品添加剂开发利用等。 </w:t>
            </w:r>
          </w:p>
        </w:tc>
      </w:tr>
      <w:tr w14:paraId="3A0E4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7" w:hRule="atLeast"/>
          <w:jc w:val="center"/>
        </w:trPr>
        <w:tc>
          <w:tcPr>
            <w:tcW w:w="1389" w:type="dxa"/>
            <w:tcBorders>
              <w:top w:val="single" w:color="000000" w:sz="4" w:space="0"/>
              <w:left w:val="single" w:color="auto"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68364573">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农产品（含水产品）加工与贮藏工程</w:t>
            </w:r>
          </w:p>
        </w:tc>
        <w:tc>
          <w:tcPr>
            <w:tcW w:w="7090" w:type="dxa"/>
            <w:tcBorders>
              <w:top w:val="single" w:color="000000" w:sz="4" w:space="0"/>
              <w:left w:val="single" w:color="000000" w:sz="4" w:space="0"/>
              <w:bottom w:val="single" w:color="000000" w:sz="4" w:space="0"/>
              <w:right w:val="single" w:color="auto" w:sz="4" w:space="0"/>
            </w:tcBorders>
            <w:shd w:val="clear" w:color="auto" w:fill="FFFFFF"/>
            <w:tcMar>
              <w:top w:w="10" w:type="dxa"/>
              <w:left w:w="10" w:type="dxa"/>
              <w:bottom w:w="0" w:type="dxa"/>
              <w:right w:w="10" w:type="dxa"/>
            </w:tcMar>
            <w:vAlign w:val="center"/>
          </w:tcPr>
          <w:p w14:paraId="06306C11">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着重研究农产品贮藏保鲜与精深加工技术，生物有效成分提取、功能性食品开发等，研究生物质转化利用与食品</w:t>
            </w:r>
            <w:r>
              <w:rPr>
                <w:rFonts w:hint="eastAsia" w:ascii="仿宋_GB2312" w:hAnsi="仿宋_GB2312" w:eastAsia="仿宋_GB2312" w:cs="仿宋_GB2312"/>
                <w:bCs/>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u w:val="none"/>
                <w14:textFill>
                  <w14:solidFill>
                    <w14:schemeClr w14:val="tx1"/>
                  </w14:solidFill>
                </w14:textFill>
              </w:rPr>
              <w:t>能源</w:t>
            </w:r>
            <w:r>
              <w:rPr>
                <w:rFonts w:hint="eastAsia" w:ascii="仿宋_GB2312" w:hAnsi="仿宋_GB2312" w:eastAsia="仿宋_GB2312" w:cs="仿宋_GB2312"/>
                <w:bCs/>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u w:val="none"/>
                <w14:textFill>
                  <w14:solidFill>
                    <w14:schemeClr w14:val="tx1"/>
                  </w14:solidFill>
                </w14:textFill>
              </w:rPr>
              <w:t xml:space="preserve">水生态关联技术，开展相关应用基础理论和产业化研究。 </w:t>
            </w:r>
          </w:p>
        </w:tc>
      </w:tr>
      <w:tr w14:paraId="73CA4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7" w:hRule="atLeast"/>
          <w:jc w:val="center"/>
        </w:trPr>
        <w:tc>
          <w:tcPr>
            <w:tcW w:w="1389" w:type="dxa"/>
            <w:tcBorders>
              <w:top w:val="single" w:color="000000" w:sz="4" w:space="0"/>
              <w:left w:val="single" w:color="auto"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5F3F0D2D">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粮食油脂及植物蛋白工程</w:t>
            </w:r>
          </w:p>
        </w:tc>
        <w:tc>
          <w:tcPr>
            <w:tcW w:w="7090" w:type="dxa"/>
            <w:tcBorders>
              <w:top w:val="single" w:color="000000" w:sz="4" w:space="0"/>
              <w:left w:val="single" w:color="000000" w:sz="4" w:space="0"/>
              <w:bottom w:val="single" w:color="000000" w:sz="4" w:space="0"/>
              <w:right w:val="single" w:color="auto" w:sz="4" w:space="0"/>
            </w:tcBorders>
            <w:shd w:val="clear" w:color="auto" w:fill="FFFFFF"/>
            <w:tcMar>
              <w:top w:w="10" w:type="dxa"/>
              <w:left w:w="10" w:type="dxa"/>
              <w:bottom w:w="0" w:type="dxa"/>
              <w:right w:w="10" w:type="dxa"/>
            </w:tcMar>
            <w:vAlign w:val="center"/>
          </w:tcPr>
          <w:p w14:paraId="7ABF2EAD">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 xml:space="preserve">着重研究粮食和油脂、植物蛋白资源的生物化学特性、营养活性以及现代加工技术，利用现代食品工程高新技术对粮、油、植物蛋白资源及其副产物进行深度开发及产业化研究。 </w:t>
            </w:r>
          </w:p>
        </w:tc>
      </w:tr>
      <w:tr w14:paraId="1CC4C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5" w:hRule="atLeast"/>
          <w:jc w:val="center"/>
        </w:trPr>
        <w:tc>
          <w:tcPr>
            <w:tcW w:w="1389" w:type="dxa"/>
            <w:tcBorders>
              <w:top w:val="single" w:color="000000" w:sz="4" w:space="0"/>
              <w:left w:val="single" w:color="auto"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4B710A6E">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食品营养</w:t>
            </w:r>
          </w:p>
        </w:tc>
        <w:tc>
          <w:tcPr>
            <w:tcW w:w="7090" w:type="dxa"/>
            <w:tcBorders>
              <w:top w:val="single" w:color="000000" w:sz="4" w:space="0"/>
              <w:left w:val="single" w:color="000000" w:sz="4" w:space="0"/>
              <w:bottom w:val="single" w:color="000000" w:sz="4" w:space="0"/>
              <w:right w:val="single" w:color="auto" w:sz="4" w:space="0"/>
            </w:tcBorders>
            <w:shd w:val="clear" w:color="auto" w:fill="FFFFFF"/>
            <w:tcMar>
              <w:top w:w="10" w:type="dxa"/>
              <w:left w:w="10" w:type="dxa"/>
              <w:bottom w:w="0" w:type="dxa"/>
              <w:right w:w="10" w:type="dxa"/>
            </w:tcMar>
            <w:vAlign w:val="center"/>
          </w:tcPr>
          <w:p w14:paraId="3736154E">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着重研究食物营养学、公共健康营养以及社会政策与健康管理，着重研究食品加工过程中营养组分的变化及其对人体健康的影响。</w:t>
            </w:r>
          </w:p>
        </w:tc>
      </w:tr>
      <w:tr w14:paraId="3DA29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78" w:hRule="atLeast"/>
          <w:jc w:val="center"/>
        </w:trPr>
        <w:tc>
          <w:tcPr>
            <w:tcW w:w="1389" w:type="dxa"/>
            <w:tcBorders>
              <w:top w:val="single" w:color="000000" w:sz="4" w:space="0"/>
              <w:left w:val="single" w:color="auto"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7EC0838A">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食品安全</w:t>
            </w:r>
          </w:p>
        </w:tc>
        <w:tc>
          <w:tcPr>
            <w:tcW w:w="7090" w:type="dxa"/>
            <w:tcBorders>
              <w:top w:val="single" w:color="000000" w:sz="4" w:space="0"/>
              <w:left w:val="single" w:color="000000" w:sz="4" w:space="0"/>
              <w:bottom w:val="single" w:color="000000" w:sz="4" w:space="0"/>
              <w:right w:val="single" w:color="auto" w:sz="4" w:space="0"/>
            </w:tcBorders>
            <w:shd w:val="clear" w:color="auto" w:fill="FFFFFF"/>
            <w:tcMar>
              <w:top w:w="10" w:type="dxa"/>
              <w:left w:w="10" w:type="dxa"/>
              <w:bottom w:w="0" w:type="dxa"/>
              <w:right w:w="10" w:type="dxa"/>
            </w:tcMar>
            <w:vAlign w:val="center"/>
          </w:tcPr>
          <w:p w14:paraId="05A6BB53">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紧紧围绕现代食品加工、流通、消费等环节的食品安全科学问题，采用现代分析手段和分子生物学方法，研究影响食品安全的主要危害因素及其检测评价方法、预防和控制措施，分析检测食品的营养与卫生指标，研究食品成分在加工保藏过程中的化学变化。</w:t>
            </w:r>
          </w:p>
        </w:tc>
      </w:tr>
      <w:tr w14:paraId="20E45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00" w:hRule="atLeast"/>
          <w:jc w:val="center"/>
        </w:trPr>
        <w:tc>
          <w:tcPr>
            <w:tcW w:w="1389" w:type="dxa"/>
            <w:tcBorders>
              <w:top w:val="single" w:color="000000" w:sz="4" w:space="0"/>
              <w:left w:val="single" w:color="auto" w:sz="4" w:space="0"/>
              <w:bottom w:val="single" w:color="auto" w:sz="4" w:space="0"/>
              <w:right w:val="single" w:color="000000" w:sz="4" w:space="0"/>
            </w:tcBorders>
            <w:shd w:val="clear" w:color="auto" w:fill="FFFFFF"/>
            <w:tcMar>
              <w:top w:w="10" w:type="dxa"/>
              <w:left w:w="10" w:type="dxa"/>
              <w:bottom w:w="0" w:type="dxa"/>
              <w:right w:w="10" w:type="dxa"/>
            </w:tcMar>
            <w:vAlign w:val="center"/>
          </w:tcPr>
          <w:p w14:paraId="32C4F4F7">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食品生物技术</w:t>
            </w:r>
          </w:p>
        </w:tc>
        <w:tc>
          <w:tcPr>
            <w:tcW w:w="7090" w:type="dxa"/>
            <w:tcBorders>
              <w:top w:val="single" w:color="000000" w:sz="4" w:space="0"/>
              <w:left w:val="single" w:color="000000" w:sz="4" w:space="0"/>
              <w:bottom w:val="single" w:color="auto" w:sz="4" w:space="0"/>
              <w:right w:val="single" w:color="auto" w:sz="4" w:space="0"/>
            </w:tcBorders>
            <w:shd w:val="clear" w:color="auto" w:fill="FFFFFF"/>
            <w:tcMar>
              <w:top w:w="10" w:type="dxa"/>
              <w:left w:w="10" w:type="dxa"/>
              <w:bottom w:w="0" w:type="dxa"/>
              <w:right w:w="10" w:type="dxa"/>
            </w:tcMar>
            <w:vAlign w:val="center"/>
          </w:tcPr>
          <w:p w14:paraId="7ADC9FB9">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both"/>
              <w:rPr>
                <w:rFonts w:hint="eastAsia" w:ascii="仿宋_GB2312" w:hAnsi="仿宋_GB2312" w:eastAsia="仿宋_GB2312" w:cs="仿宋_GB2312"/>
                <w:bCs/>
                <w:color w:val="000000" w:themeColor="text1"/>
                <w:sz w:val="28"/>
                <w:szCs w:val="28"/>
                <w:u w:val="none"/>
                <w14:textFill>
                  <w14:solidFill>
                    <w14:schemeClr w14:val="tx1"/>
                  </w14:solidFill>
                </w14:textFill>
              </w:rPr>
            </w:pPr>
            <w:r>
              <w:rPr>
                <w:rFonts w:hint="eastAsia" w:ascii="仿宋_GB2312" w:hAnsi="仿宋_GB2312" w:eastAsia="仿宋_GB2312" w:cs="仿宋_GB2312"/>
                <w:bCs/>
                <w:color w:val="000000" w:themeColor="text1"/>
                <w:sz w:val="28"/>
                <w:szCs w:val="28"/>
                <w:u w:val="none"/>
                <w14:textFill>
                  <w14:solidFill>
                    <w14:schemeClr w14:val="tx1"/>
                  </w14:solidFill>
                </w14:textFill>
              </w:rPr>
              <w:t>着重研究应用现代生物技术来贮藏保障或改良食品品质，制造食品添加剂或特殊膳食，研究我国传统发酵食品中微生物的多样性、生理活性及其代谢机制，开展优良食品微生物筛选、培养、制备及其功效评价，以及动植物细胞培养以及应用基因工程、酶工程、蛋白质工程和细胞工程等其他生物技术开展食品加工、营养及安全研究。</w:t>
            </w:r>
          </w:p>
        </w:tc>
      </w:tr>
    </w:tbl>
    <w:p w14:paraId="751054BD">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3.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联系方式：</w:t>
      </w:r>
    </w:p>
    <w:p w14:paraId="44B91E9F">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负责人：殷军艺 </w:t>
      </w:r>
    </w:p>
    <w:p w14:paraId="55BD3B7C">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联系人：</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姚豪颖叶</w:t>
      </w:r>
    </w:p>
    <w:p w14:paraId="67BC05BA">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电话：0791-83969526  </w:t>
      </w:r>
    </w:p>
    <w:p w14:paraId="64DDC89D">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邮箱：spxy@ncu.edu.cn</w:t>
      </w:r>
    </w:p>
    <w:p w14:paraId="5D6CC6A9">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网址：</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fldChar w:fldCharType="begin"/>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instrText xml:space="preserve"> HYPERLINK "http://sfst.ncu.edu.cn/" </w:instrTex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fldChar w:fldCharType="separate"/>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http://sfst.ncu.edu.cn/</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fldChar w:fldCharType="end"/>
      </w:r>
    </w:p>
    <w:p w14:paraId="2BBBABBF">
      <w:pPr>
        <w:shd w:val="clear" w:color="auto" w:fill="FFFFFF"/>
        <w:spacing w:line="480" w:lineRule="exact"/>
        <w:ind w:firstLine="560" w:firstLineChars="200"/>
        <w:rPr>
          <w:rFonts w:hint="default" w:ascii="Times New Roman" w:hAnsi="Times New Roman" w:eastAsia="仿宋_GB2312" w:cs="Times New Roman"/>
          <w:color w:val="000000" w:themeColor="text1"/>
          <w:kern w:val="0"/>
          <w:sz w:val="28"/>
          <w:szCs w:val="28"/>
          <w:u w:val="none"/>
          <w14:textFill>
            <w14:solidFill>
              <w14:schemeClr w14:val="tx1"/>
            </w14:solidFill>
          </w14:textFill>
        </w:rPr>
      </w:pPr>
    </w:p>
    <w:p w14:paraId="0C7A9DB1">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管理科学与工程博士后科研流动站</w:t>
      </w:r>
    </w:p>
    <w:p w14:paraId="621D4E1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59D9AD3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南昌大学管理科学与工程博士后科研流动站获批于2010年，其相应的一级学科博士授权点获批于2000年，是江西省第一个被授权的人文社科类博士点，曾是江西省“十五</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十一五”和“十二五”重点建设学科。目前，依托公共政策与管理学院，获得江西省科技创新与中部地区经济社会发展软科学研究基地、江西省区域经济研究院、江西省系统工程学会等平台的支持，形成了学术资源丰富、师资队伍实力雄厚、研究方向有特色的育人体系，致力于服务国家重大战略需求和江西地方经济发展需要的学术创新与发展。流动站背靠学院与学科，师资队伍年龄、学历、职称结构合理。近五年，学院师资承担国家与省部级科研项目435余项，项目经费5729余万元，在UTD24期刊、国家自然科学基金委管理科学部指定重要期刊等发表高水平论文600余篇，获得中国博士后科学基金会多项项目资助。</w:t>
      </w:r>
    </w:p>
    <w:p w14:paraId="6A7A414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068CEB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管理科学与系统动力学、资源与环境管理、工业工程与管理工程、决策分析、人力资源与科技管理、供应链与金融管理、公共政策与社会管理、区域与产业经济管理、信息管理与信息系统。</w:t>
      </w:r>
    </w:p>
    <w:p w14:paraId="4A15B3D5">
      <w:pPr>
        <w:shd w:val="clear" w:color="auto" w:fill="FFFFFF"/>
        <w:spacing w:line="480" w:lineRule="exact"/>
        <w:ind w:firstLine="562" w:firstLineChars="200"/>
        <w:rPr>
          <w:rFonts w:hint="default" w:ascii="Times New Roman" w:hAnsi="Times New Roman" w:eastAsia="仿宋_GB2312" w:cs="Times New Roman"/>
          <w:b/>
          <w:bCs/>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kern w:val="0"/>
          <w:sz w:val="28"/>
          <w:szCs w:val="28"/>
          <w:u w:val="none"/>
          <w14:textFill>
            <w14:solidFill>
              <w14:schemeClr w14:val="tx1"/>
            </w14:solidFill>
          </w14:textFill>
        </w:rPr>
        <w:t>联系方式：</w:t>
      </w:r>
    </w:p>
    <w:p w14:paraId="50B9CEC0">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 xml:space="preserve">负责人：徐兵  </w:t>
      </w:r>
    </w:p>
    <w:p w14:paraId="4B339871">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 xml:space="preserve">联系人：江蓉 </w:t>
      </w:r>
    </w:p>
    <w:p w14:paraId="69BE52A9">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电话：0791-83969205</w:t>
      </w:r>
    </w:p>
    <w:p w14:paraId="4A402425">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邮箱：jiangrong@ncu.edu.cn</w:t>
      </w:r>
    </w:p>
    <w:p w14:paraId="04310D6A">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网址：</w:t>
      </w: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instrText xml:space="preserve"> HYPERLINK "http://spm.ncu.edu.cn/" </w:instrText>
      </w: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fldChar w:fldCharType="separate"/>
      </w:r>
      <w:r>
        <w:rPr>
          <w:rStyle w:val="10"/>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t>http://spm.ncu.edu.cn/</w:t>
      </w:r>
      <w:r>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fldChar w:fldCharType="end"/>
      </w:r>
    </w:p>
    <w:p w14:paraId="5AB0B73E">
      <w:pPr>
        <w:shd w:val="clear" w:color="auto" w:fill="FFFFFF"/>
        <w:spacing w:line="480" w:lineRule="exact"/>
        <w:ind w:firstLine="560" w:firstLineChars="200"/>
        <w:rPr>
          <w:rFonts w:hint="default" w:ascii="Times New Roman" w:hAnsi="Times New Roman" w:eastAsia="仿宋_GB2312" w:cs="Times New Roman"/>
          <w:b w:val="0"/>
          <w:bCs w:val="0"/>
          <w:color w:val="000000" w:themeColor="text1"/>
          <w:kern w:val="0"/>
          <w:sz w:val="28"/>
          <w:szCs w:val="28"/>
          <w:u w:val="none"/>
          <w14:textFill>
            <w14:solidFill>
              <w14:schemeClr w14:val="tx1"/>
            </w14:solidFill>
          </w14:textFill>
        </w:rPr>
      </w:pPr>
    </w:p>
    <w:p w14:paraId="77EA2FE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02" w:firstLineChars="200"/>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化学博士后科研流动站</w:t>
      </w:r>
    </w:p>
    <w:p w14:paraId="38491EB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4447B95B">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pP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南昌大学化学博士后科研流动站依托于南昌大学化学化工学院于2014年获批，拥有</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5</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个省级平台。化学学科是江西省“十二五”重点学科，是一级学科博士学位授予点，是首批江西省5星级专业，ESI全球学科最新排名进入</w:t>
      </w:r>
      <w:r>
        <w:rPr>
          <w:rFonts w:hint="eastAsia" w:ascii="仿宋_GB2312" w:hAnsi="仿宋_GB2312" w:eastAsia="仿宋_GB2312" w:cs="仿宋_GB2312"/>
          <w:i w:val="0"/>
          <w:iCs w:val="0"/>
          <w:caps w:val="0"/>
          <w:color w:val="auto"/>
          <w:spacing w:val="0"/>
          <w:sz w:val="31"/>
          <w:szCs w:val="31"/>
          <w:lang w:val="en-US" w:eastAsia="en-US"/>
        </w:rPr>
        <w:t>0.987‰</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。主要围绕铁电化学、能源转换与存储、绿色合成与催化、无机稀土化学、生物与制药等领域开展研究。学院现有专任教师1</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28</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人，其中教授</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61</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人，副教授</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37</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人，具有博士学位教师占专任教师比例为</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91</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%，在读研究生</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829</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人。流动站现有教学研究人员100多人，其中，国家级人才18人次（含青年人才），博士生导师20余人。近5年来承担国家及省部科研项目100项，项目经费5000余万元。获省级以上科研奖励10余项。</w:t>
      </w:r>
    </w:p>
    <w:p w14:paraId="01510A4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研究方向：</w:t>
      </w:r>
    </w:p>
    <w:p w14:paraId="0D573CC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高分子化学、分析化学、有机化学、物理化学、无机化学、铁电化学。</w:t>
      </w:r>
    </w:p>
    <w:p w14:paraId="4D5A9D8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联系方式：</w:t>
      </w:r>
    </w:p>
    <w:p w14:paraId="55FCFB3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负责人：</w:t>
      </w:r>
      <w:r>
        <w:rPr>
          <w:rFonts w:hint="eastAsia"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谌烈</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   </w:t>
      </w:r>
    </w:p>
    <w:p w14:paraId="343BAB4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联系人：王琳  </w:t>
      </w:r>
    </w:p>
    <w:p w14:paraId="184682E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电话：0791-83969514  </w:t>
      </w:r>
    </w:p>
    <w:p w14:paraId="41B5D1A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邮箱：</w:t>
      </w:r>
      <w:r>
        <w:rPr>
          <w:rFonts w:hint="eastAsia"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wangwangmumu</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ncu.edu.cn</w:t>
      </w:r>
    </w:p>
    <w:p w14:paraId="6327D7E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网址：http://chem.ncu.edu.cn/</w:t>
      </w:r>
    </w:p>
    <w:p w14:paraId="1D0EF077">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pPr>
    </w:p>
    <w:p w14:paraId="5129B581">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t>化学工程</w:t>
      </w:r>
      <w:r>
        <w:rPr>
          <w:rFonts w:hint="eastAsia" w:ascii="黑体" w:hAnsi="黑体" w:eastAsia="黑体" w:cs="黑体"/>
          <w:b/>
          <w:bCs/>
          <w:color w:val="000000" w:themeColor="text1"/>
          <w:spacing w:val="0"/>
          <w:kern w:val="0"/>
          <w:sz w:val="30"/>
          <w:szCs w:val="28"/>
          <w:highlight w:val="none"/>
          <w:u w:val="none"/>
          <w:shd w:val="clear" w:color="FFFFFF" w:fill="D9D9D9"/>
          <w:lang w:val="en-US" w:eastAsia="zh-CN"/>
          <w14:textFill>
            <w14:solidFill>
              <w14:schemeClr w14:val="tx1"/>
            </w14:solidFill>
          </w14:textFill>
        </w:rPr>
        <w:t>与</w:t>
      </w:r>
      <w:r>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t>技术博士后科研流动站</w:t>
      </w:r>
    </w:p>
    <w:p w14:paraId="3C9282B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简介：</w:t>
      </w:r>
    </w:p>
    <w:p w14:paraId="1A4B1008">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pP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南昌大学化学工程与技术博士后科研流动站2012年获准设立，致力于成为江西省化学工程与技术高层次人才的培养基地、研发中心及产业化基地。</w:t>
      </w:r>
      <w:r>
        <w:rPr>
          <w:rFonts w:hint="eastAsia" w:ascii="Times New Roman" w:hAnsi="Times New Roman" w:eastAsia="仿宋_GB2312" w:cs="Times New Roman"/>
          <w:color w:val="000000" w:themeColor="text1"/>
          <w:kern w:val="0"/>
          <w:sz w:val="28"/>
          <w:szCs w:val="28"/>
          <w:highlight w:val="none"/>
          <w:u w:val="none"/>
          <w14:textFill>
            <w14:solidFill>
              <w14:schemeClr w14:val="tx1"/>
            </w14:solidFill>
          </w14:textFill>
        </w:rPr>
        <w:t>现拥有环境与能源催化江西省重点实验室、江西省高分子能源材料工程实验室、江西省稀土材料前驱体工程实验室省级平台</w:t>
      </w: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流动站目前拥有实验室面积3000余平方米，3000万元以上先进测试仪器，配备了较为齐全的图书资料和数字化资源；现有国家级人才近10人，教授30人、博士生导师20人。近5年来共招收博士研究生40余人；主持国家重点研发计划、优秀青年基金项目、国家自然科学基金项目等超过50项，企事业委托项目60余项，课题经费超过3000万元；授权技术发明专利近100项；在相关学术期刊上发表论文300余篇。获各类省部级科技奖励近10项。流动站立足江西地方经济发展需求，培养高层次研发人才。</w:t>
      </w:r>
    </w:p>
    <w:p w14:paraId="11203AF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研究方向：</w:t>
      </w:r>
    </w:p>
    <w:p w14:paraId="35E1B4FE">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pPr>
      <w:r>
        <w:rPr>
          <w:rFonts w:ascii="Times New Roman" w:hAnsi="Times New Roman" w:eastAsia="仿宋_GB2312" w:cs="Times New Roman"/>
          <w:color w:val="000000" w:themeColor="text1"/>
          <w:kern w:val="0"/>
          <w:sz w:val="28"/>
          <w:szCs w:val="28"/>
          <w:highlight w:val="none"/>
          <w:u w:val="none"/>
          <w14:textFill>
            <w14:solidFill>
              <w14:schemeClr w14:val="tx1"/>
            </w14:solidFill>
          </w14:textFill>
        </w:rPr>
        <w:t>催化与新能源、资源与环境化学工程、应用化学、材料化学与工艺、化学工程、生物化工。</w:t>
      </w:r>
    </w:p>
    <w:p w14:paraId="1E2A981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1F2F421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负责人：张荣斌  </w:t>
      </w:r>
    </w:p>
    <w:p w14:paraId="108AFFC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联系人：王琳   </w:t>
      </w:r>
    </w:p>
    <w:p w14:paraId="1EF495E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电话：0791-83969514   </w:t>
      </w:r>
    </w:p>
    <w:p w14:paraId="0B5A240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wangwangmumu</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ncu.edu.cn</w:t>
      </w:r>
    </w:p>
    <w:p w14:paraId="7968F44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网址：http://chem.ncu.edu.cn/</w:t>
      </w:r>
    </w:p>
    <w:p w14:paraId="634085F0">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630C1BE9">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环境科学与工程博士后科研流动站</w:t>
      </w:r>
    </w:p>
    <w:p w14:paraId="36E2780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6CFD2DF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环境科学与工程博士后科研流动站设立于2009年，依托资源与环境学院、鄱阳湖环境与资源利用教育部重点实验室、流域碳中和教育部工程研究中心和江西生态文明研究院等科研平台，是流域碳中和双一流学科建设的重要载体。环境科学与工程博士后科研流动站师资力量雄厚，现有教授32名，博士生导师21人。拥有先进的实验装备和优越的科研条件，实验基地总建筑面积18598㎡。近5年承担了国家科技支撑计划项目、国家水体污染控制与治理科技重大专项、国际科技合作项目等国家及省部科研项目50余项，项目经费超过5000万元。获得省部级奖十多项。</w:t>
      </w:r>
    </w:p>
    <w:p w14:paraId="4E95F1D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研究方向：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24"/>
      </w:tblGrid>
      <w:tr w14:paraId="64A2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72" w:type="dxa"/>
            <w:vAlign w:val="top"/>
          </w:tcPr>
          <w:p w14:paraId="117D4A4E">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center"/>
              <w:textAlignment w:val="auto"/>
              <w:rPr>
                <w:rFonts w:hint="eastAsia" w:ascii="Times New Roman" w:hAnsi="Times New Roman" w:eastAsia="仿宋_GB2312"/>
                <w:b/>
                <w:bCs/>
                <w:color w:val="000000" w:themeColor="text1"/>
                <w:kern w:val="0"/>
                <w:sz w:val="28"/>
                <w:szCs w:val="28"/>
                <w:u w:val="none"/>
                <w14:textFill>
                  <w14:solidFill>
                    <w14:schemeClr w14:val="tx1"/>
                  </w14:solidFill>
                </w14:textFill>
              </w:rPr>
            </w:pPr>
            <w:r>
              <w:rPr>
                <w:rFonts w:hint="eastAsia" w:ascii="Times New Roman" w:hAnsi="Times New Roman" w:eastAsia="仿宋_GB2312"/>
                <w:b/>
                <w:bCs/>
                <w:color w:val="000000" w:themeColor="text1"/>
                <w:kern w:val="0"/>
                <w:sz w:val="28"/>
                <w:szCs w:val="28"/>
                <w:u w:val="none"/>
                <w14:textFill>
                  <w14:solidFill>
                    <w14:schemeClr w14:val="tx1"/>
                  </w14:solidFill>
                </w14:textFill>
              </w:rPr>
              <w:t>研究方向</w:t>
            </w:r>
          </w:p>
        </w:tc>
        <w:tc>
          <w:tcPr>
            <w:tcW w:w="5324" w:type="dxa"/>
            <w:vAlign w:val="top"/>
          </w:tcPr>
          <w:p w14:paraId="510426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center"/>
              <w:textAlignment w:val="auto"/>
              <w:rPr>
                <w:rFonts w:hint="eastAsia" w:ascii="Times New Roman" w:hAnsi="Times New Roman" w:eastAsia="仿宋_GB2312"/>
                <w:b/>
                <w:bCs/>
                <w:color w:val="000000" w:themeColor="text1"/>
                <w:kern w:val="0"/>
                <w:sz w:val="28"/>
                <w:szCs w:val="28"/>
                <w:u w:val="none"/>
                <w14:textFill>
                  <w14:solidFill>
                    <w14:schemeClr w14:val="tx1"/>
                  </w14:solidFill>
                </w14:textFill>
              </w:rPr>
            </w:pPr>
            <w:r>
              <w:rPr>
                <w:rFonts w:hint="eastAsia" w:ascii="Times New Roman" w:hAnsi="Times New Roman" w:eastAsia="仿宋_GB2312"/>
                <w:b/>
                <w:bCs/>
                <w:color w:val="000000" w:themeColor="text1"/>
                <w:kern w:val="0"/>
                <w:sz w:val="28"/>
                <w:szCs w:val="28"/>
                <w:u w:val="none"/>
                <w14:textFill>
                  <w14:solidFill>
                    <w14:schemeClr w14:val="tx1"/>
                  </w14:solidFill>
                </w14:textFill>
              </w:rPr>
              <w:t>研究内容</w:t>
            </w:r>
          </w:p>
        </w:tc>
      </w:tr>
      <w:tr w14:paraId="45CC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1DA6C5CC">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both"/>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ascii="Times New Roman" w:hAnsi="Times New Roman" w:eastAsia="仿宋_GB2312"/>
                <w:color w:val="000000" w:themeColor="text1"/>
                <w:kern w:val="0"/>
                <w:sz w:val="28"/>
                <w:szCs w:val="28"/>
                <w:u w:val="none"/>
                <w14:textFill>
                  <w14:solidFill>
                    <w14:schemeClr w14:val="tx1"/>
                  </w14:solidFill>
                </w14:textFill>
              </w:rPr>
              <w:t>鄱阳湖生态环境保护</w:t>
            </w:r>
          </w:p>
        </w:tc>
        <w:tc>
          <w:tcPr>
            <w:tcW w:w="5324" w:type="dxa"/>
            <w:vAlign w:val="top"/>
          </w:tcPr>
          <w:p w14:paraId="69FB2381">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hint="eastAsia" w:ascii="Times New Roman" w:hAnsi="Times New Roman" w:eastAsia="仿宋_GB2312"/>
                <w:color w:val="000000" w:themeColor="text1"/>
                <w:kern w:val="0"/>
                <w:sz w:val="28"/>
                <w:szCs w:val="28"/>
                <w:u w:val="none"/>
                <w14:textFill>
                  <w14:solidFill>
                    <w14:schemeClr w14:val="tx1"/>
                  </w14:solidFill>
                </w14:textFill>
              </w:rPr>
              <w:t>鄱阳湖水文</w:t>
            </w:r>
            <w:r>
              <w:rPr>
                <w:rFonts w:hint="eastAsia" w:ascii="Times New Roman" w:hAnsi="Times New Roman" w:eastAsia="仿宋_GB2312"/>
                <w:color w:val="000000" w:themeColor="text1"/>
                <w:kern w:val="0"/>
                <w:sz w:val="28"/>
                <w:szCs w:val="28"/>
                <w:u w:val="none"/>
                <w:lang w:eastAsia="zh-CN"/>
                <w14:textFill>
                  <w14:solidFill>
                    <w14:schemeClr w14:val="tx1"/>
                  </w14:solidFill>
                </w14:textFill>
              </w:rPr>
              <w:t>－</w:t>
            </w:r>
            <w:r>
              <w:rPr>
                <w:rFonts w:ascii="Times New Roman" w:hAnsi="Times New Roman" w:eastAsia="仿宋_GB2312"/>
                <w:color w:val="000000" w:themeColor="text1"/>
                <w:kern w:val="0"/>
                <w:sz w:val="28"/>
                <w:szCs w:val="28"/>
                <w:u w:val="none"/>
                <w14:textFill>
                  <w14:solidFill>
                    <w14:schemeClr w14:val="tx1"/>
                  </w14:solidFill>
                </w14:textFill>
              </w:rPr>
              <w:t>水</w:t>
            </w:r>
            <w:r>
              <w:rPr>
                <w:rFonts w:hint="eastAsia" w:ascii="Times New Roman" w:hAnsi="Times New Roman" w:eastAsia="仿宋_GB2312"/>
                <w:color w:val="000000" w:themeColor="text1"/>
                <w:kern w:val="0"/>
                <w:sz w:val="28"/>
                <w:szCs w:val="28"/>
                <w:u w:val="none"/>
                <w14:textFill>
                  <w14:solidFill>
                    <w14:schemeClr w14:val="tx1"/>
                  </w14:solidFill>
                </w14:textFill>
              </w:rPr>
              <w:t>质</w:t>
            </w:r>
            <w:r>
              <w:rPr>
                <w:rFonts w:hint="eastAsia" w:ascii="Times New Roman" w:hAnsi="Times New Roman" w:eastAsia="仿宋_GB2312"/>
                <w:color w:val="000000" w:themeColor="text1"/>
                <w:kern w:val="0"/>
                <w:sz w:val="28"/>
                <w:szCs w:val="28"/>
                <w:u w:val="none"/>
                <w:lang w:eastAsia="zh-CN"/>
                <w14:textFill>
                  <w14:solidFill>
                    <w14:schemeClr w14:val="tx1"/>
                  </w14:solidFill>
                </w14:textFill>
              </w:rPr>
              <w:t>－</w:t>
            </w:r>
            <w:r>
              <w:rPr>
                <w:rFonts w:ascii="Times New Roman" w:hAnsi="Times New Roman" w:eastAsia="仿宋_GB2312"/>
                <w:color w:val="000000" w:themeColor="text1"/>
                <w:kern w:val="0"/>
                <w:sz w:val="28"/>
                <w:szCs w:val="28"/>
                <w:u w:val="none"/>
                <w14:textFill>
                  <w14:solidFill>
                    <w14:schemeClr w14:val="tx1"/>
                  </w14:solidFill>
                </w14:textFill>
              </w:rPr>
              <w:t>水生</w:t>
            </w:r>
            <w:r>
              <w:rPr>
                <w:rFonts w:hint="eastAsia" w:ascii="Times New Roman" w:hAnsi="Times New Roman" w:eastAsia="仿宋_GB2312"/>
                <w:color w:val="000000" w:themeColor="text1"/>
                <w:kern w:val="0"/>
                <w:sz w:val="28"/>
                <w:szCs w:val="28"/>
                <w:u w:val="none"/>
                <w14:textFill>
                  <w14:solidFill>
                    <w14:schemeClr w14:val="tx1"/>
                  </w14:solidFill>
                </w14:textFill>
              </w:rPr>
              <w:t>态耦合机制与演变规律、湖泊污染物多介质界面行为与风险防控、鄱阳湖磷污染防控、</w:t>
            </w:r>
            <w:r>
              <w:rPr>
                <w:rFonts w:ascii="Times New Roman" w:hAnsi="Times New Roman" w:eastAsia="仿宋_GB2312"/>
                <w:color w:val="000000" w:themeColor="text1"/>
                <w:kern w:val="0"/>
                <w:sz w:val="28"/>
                <w:szCs w:val="28"/>
                <w:u w:val="none"/>
                <w14:textFill>
                  <w14:solidFill>
                    <w14:schemeClr w14:val="tx1"/>
                  </w14:solidFill>
                </w14:textFill>
              </w:rPr>
              <w:t>流域综合调控与生态环境效应</w:t>
            </w:r>
          </w:p>
        </w:tc>
      </w:tr>
      <w:tr w14:paraId="6060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475CDE6C">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both"/>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ascii="Times New Roman" w:hAnsi="Times New Roman" w:eastAsia="仿宋_GB2312"/>
                <w:color w:val="000000" w:themeColor="text1"/>
                <w:kern w:val="0"/>
                <w:sz w:val="28"/>
                <w:szCs w:val="28"/>
                <w:u w:val="none"/>
                <w14:textFill>
                  <w14:solidFill>
                    <w14:schemeClr w14:val="tx1"/>
                  </w14:solidFill>
                </w14:textFill>
              </w:rPr>
              <w:t>资源循环与污染防治</w:t>
            </w:r>
          </w:p>
        </w:tc>
        <w:tc>
          <w:tcPr>
            <w:tcW w:w="5324" w:type="dxa"/>
            <w:vAlign w:val="top"/>
          </w:tcPr>
          <w:p w14:paraId="0F9360CC">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hint="eastAsia" w:ascii="Times New Roman" w:hAnsi="Times New Roman" w:eastAsia="仿宋_GB2312"/>
                <w:color w:val="000000" w:themeColor="text1"/>
                <w:kern w:val="0"/>
                <w:sz w:val="28"/>
                <w:szCs w:val="28"/>
                <w:u w:val="none"/>
                <w14:textFill>
                  <w14:solidFill>
                    <w14:schemeClr w14:val="tx1"/>
                  </w14:solidFill>
                </w14:textFill>
              </w:rPr>
              <w:t>循环经济理论与技术、生物质资源循环、金属资源循环、</w:t>
            </w:r>
            <w:r>
              <w:rPr>
                <w:rFonts w:ascii="Times New Roman" w:hAnsi="Times New Roman" w:eastAsia="仿宋_GB2312"/>
                <w:color w:val="000000" w:themeColor="text1"/>
                <w:kern w:val="0"/>
                <w:sz w:val="28"/>
                <w:szCs w:val="28"/>
                <w:u w:val="none"/>
                <w14:textFill>
                  <w14:solidFill>
                    <w14:schemeClr w14:val="tx1"/>
                  </w14:solidFill>
                </w14:textFill>
              </w:rPr>
              <w:t>固废资源化</w:t>
            </w:r>
          </w:p>
        </w:tc>
      </w:tr>
      <w:tr w14:paraId="4405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77894A96">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both"/>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ascii="Times New Roman" w:hAnsi="Times New Roman" w:eastAsia="仿宋_GB2312"/>
                <w:color w:val="000000" w:themeColor="text1"/>
                <w:kern w:val="0"/>
                <w:sz w:val="28"/>
                <w:szCs w:val="28"/>
                <w:u w:val="none"/>
                <w14:textFill>
                  <w14:solidFill>
                    <w14:schemeClr w14:val="tx1"/>
                  </w14:solidFill>
                </w14:textFill>
              </w:rPr>
              <w:t>流域碳中和</w:t>
            </w:r>
          </w:p>
        </w:tc>
        <w:tc>
          <w:tcPr>
            <w:tcW w:w="5324" w:type="dxa"/>
            <w:vAlign w:val="top"/>
          </w:tcPr>
          <w:p w14:paraId="38B99FEB">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hint="eastAsia" w:ascii="Times New Roman" w:hAnsi="Times New Roman" w:eastAsia="仿宋_GB2312"/>
                <w:color w:val="000000" w:themeColor="text1"/>
                <w:kern w:val="0"/>
                <w:sz w:val="28"/>
                <w:szCs w:val="28"/>
                <w:u w:val="none"/>
                <w14:textFill>
                  <w14:solidFill>
                    <w14:schemeClr w14:val="tx1"/>
                  </w14:solidFill>
                </w14:textFill>
              </w:rPr>
              <w:t>产业碳中和、城市碳中和、生态产品价值实现、</w:t>
            </w:r>
            <w:r>
              <w:rPr>
                <w:rFonts w:ascii="Times New Roman" w:hAnsi="Times New Roman" w:eastAsia="仿宋_GB2312"/>
                <w:color w:val="000000" w:themeColor="text1"/>
                <w:kern w:val="0"/>
                <w:sz w:val="28"/>
                <w:szCs w:val="28"/>
                <w:u w:val="none"/>
                <w14:textFill>
                  <w14:solidFill>
                    <w14:schemeClr w14:val="tx1"/>
                  </w14:solidFill>
                </w14:textFill>
              </w:rPr>
              <w:t>流域生态系统碳汇巩固与提升</w:t>
            </w:r>
          </w:p>
        </w:tc>
      </w:tr>
      <w:tr w14:paraId="4867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5E065CD2">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0" w:firstLineChars="0"/>
              <w:jc w:val="both"/>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ascii="Times New Roman" w:hAnsi="Times New Roman" w:eastAsia="仿宋_GB2312"/>
                <w:color w:val="000000" w:themeColor="text1"/>
                <w:kern w:val="0"/>
                <w:sz w:val="28"/>
                <w:szCs w:val="28"/>
                <w:u w:val="none"/>
                <w14:textFill>
                  <w14:solidFill>
                    <w14:schemeClr w14:val="tx1"/>
                  </w14:solidFill>
                </w14:textFill>
              </w:rPr>
              <w:t>减污降碳协同关键技术与装备</w:t>
            </w:r>
          </w:p>
        </w:tc>
        <w:tc>
          <w:tcPr>
            <w:tcW w:w="5324" w:type="dxa"/>
            <w:vAlign w:val="top"/>
          </w:tcPr>
          <w:p w14:paraId="58103AC7">
            <w:pPr>
              <w:keepNext w:val="0"/>
              <w:keepLines w:val="0"/>
              <w:pageBreakBefore w:val="0"/>
              <w:widowControl w:val="0"/>
              <w:tabs>
                <w:tab w:val="left" w:pos="720"/>
              </w:tabs>
              <w:kinsoku/>
              <w:wordWrap/>
              <w:overflowPunct/>
              <w:topLinePunct w:val="0"/>
              <w:autoSpaceDE/>
              <w:autoSpaceDN/>
              <w:bidi w:val="0"/>
              <w:adjustRightInd/>
              <w:snapToGrid/>
              <w:spacing w:before="0" w:beforeLines="0" w:after="0" w:afterLines="0" w:line="480" w:lineRule="exact"/>
              <w:ind w:firstLine="0" w:firstLineChars="0"/>
              <w:textAlignment w:val="auto"/>
              <w:rPr>
                <w:rFonts w:hint="eastAsia" w:ascii="Times New Roman" w:hAnsi="Times New Roman" w:eastAsia="仿宋_GB2312"/>
                <w:color w:val="000000" w:themeColor="text1"/>
                <w:kern w:val="0"/>
                <w:sz w:val="28"/>
                <w:szCs w:val="28"/>
                <w:u w:val="none"/>
                <w14:textFill>
                  <w14:solidFill>
                    <w14:schemeClr w14:val="tx1"/>
                  </w14:solidFill>
                </w14:textFill>
              </w:rPr>
            </w:pPr>
            <w:r>
              <w:rPr>
                <w:rFonts w:ascii="Times New Roman" w:hAnsi="Times New Roman" w:eastAsia="仿宋_GB2312"/>
                <w:color w:val="000000" w:themeColor="text1"/>
                <w:kern w:val="0"/>
                <w:sz w:val="28"/>
                <w:szCs w:val="28"/>
                <w:u w:val="none"/>
                <w14:textFill>
                  <w14:solidFill>
                    <w14:schemeClr w14:val="tx1"/>
                  </w14:solidFill>
                </w14:textFill>
              </w:rPr>
              <w:t>污水/废水</w:t>
            </w:r>
            <w:r>
              <w:rPr>
                <w:rFonts w:hint="eastAsia" w:ascii="Times New Roman" w:hAnsi="Times New Roman" w:eastAsia="仿宋_GB2312"/>
                <w:color w:val="000000" w:themeColor="text1"/>
                <w:kern w:val="0"/>
                <w:sz w:val="28"/>
                <w:szCs w:val="28"/>
                <w:u w:val="none"/>
                <w14:textFill>
                  <w14:solidFill>
                    <w14:schemeClr w14:val="tx1"/>
                  </w14:solidFill>
                </w14:textFill>
              </w:rPr>
              <w:t>减污降碳协同关键技术与装备、大气减污降碳协同关键技术与装备、</w:t>
            </w:r>
            <w:r>
              <w:rPr>
                <w:rFonts w:ascii="Times New Roman" w:hAnsi="Times New Roman" w:eastAsia="仿宋_GB2312"/>
                <w:color w:val="000000" w:themeColor="text1"/>
                <w:kern w:val="0"/>
                <w:sz w:val="28"/>
                <w:szCs w:val="28"/>
                <w:u w:val="none"/>
                <w14:textFill>
                  <w14:solidFill>
                    <w14:schemeClr w14:val="tx1"/>
                  </w14:solidFill>
                </w14:textFill>
              </w:rPr>
              <w:t>挥发性有机物（VOCs）高效净化与资源回用技术</w:t>
            </w:r>
            <w:r>
              <w:rPr>
                <w:rFonts w:hint="eastAsia" w:ascii="Times New Roman" w:hAnsi="Times New Roman" w:eastAsia="仿宋_GB2312"/>
                <w:color w:val="000000" w:themeColor="text1"/>
                <w:kern w:val="0"/>
                <w:sz w:val="28"/>
                <w:szCs w:val="28"/>
                <w:u w:val="none"/>
                <w14:textFill>
                  <w14:solidFill>
                    <w14:schemeClr w14:val="tx1"/>
                  </w14:solidFill>
                </w14:textFill>
              </w:rPr>
              <w:t>与装备、</w:t>
            </w:r>
            <w:r>
              <w:rPr>
                <w:rFonts w:ascii="Times New Roman" w:hAnsi="Times New Roman" w:eastAsia="仿宋_GB2312"/>
                <w:color w:val="000000" w:themeColor="text1"/>
                <w:kern w:val="0"/>
                <w:sz w:val="28"/>
                <w:szCs w:val="28"/>
                <w:u w:val="none"/>
                <w14:textFill>
                  <w14:solidFill>
                    <w14:schemeClr w14:val="tx1"/>
                  </w14:solidFill>
                </w14:textFill>
              </w:rPr>
              <w:t>多介质复合污染协同净化功能材料与装备</w:t>
            </w:r>
            <w:r>
              <w:rPr>
                <w:rFonts w:hint="eastAsia" w:ascii="Times New Roman" w:hAnsi="Times New Roman" w:eastAsia="仿宋_GB2312"/>
                <w:color w:val="000000" w:themeColor="text1"/>
                <w:kern w:val="0"/>
                <w:sz w:val="28"/>
                <w:szCs w:val="28"/>
                <w:u w:val="none"/>
                <w14:textFill>
                  <w14:solidFill>
                    <w14:schemeClr w14:val="tx1"/>
                  </w14:solidFill>
                </w14:textFill>
              </w:rPr>
              <w:t>、</w:t>
            </w:r>
            <w:r>
              <w:rPr>
                <w:rFonts w:ascii="Times New Roman" w:hAnsi="Times New Roman" w:eastAsia="仿宋_GB2312"/>
                <w:color w:val="000000" w:themeColor="text1"/>
                <w:kern w:val="0"/>
                <w:sz w:val="28"/>
                <w:szCs w:val="28"/>
                <w:u w:val="none"/>
                <w14:textFill>
                  <w14:solidFill>
                    <w14:schemeClr w14:val="tx1"/>
                  </w14:solidFill>
                </w14:textFill>
              </w:rPr>
              <w:t>减污降碳过程智能监测数字孪生与优化控制</w:t>
            </w:r>
          </w:p>
        </w:tc>
      </w:tr>
    </w:tbl>
    <w:p w14:paraId="48DFD6A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54410F8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负责人：石磊 </w:t>
      </w:r>
    </w:p>
    <w:p w14:paraId="432543C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联系人：张旋敏 </w:t>
      </w:r>
    </w:p>
    <w:p w14:paraId="24F1534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电话：0791-83969583   </w:t>
      </w:r>
    </w:p>
    <w:p w14:paraId="2598E37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instrText xml:space="preserve"> HYPERLINK "mailto:zihuan@ncu.edu.cn" </w:instrTex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fldChar w:fldCharType="separate"/>
      </w:r>
      <w:r>
        <w:rPr>
          <w:rStyle w:val="10"/>
          <w:rFonts w:hint="default" w:ascii="Times New Roman" w:hAnsi="Times New Roman" w:eastAsia="仿宋_GB2312" w:cs="Times New Roman"/>
          <w:color w:val="000000" w:themeColor="text1"/>
          <w:spacing w:val="0"/>
          <w:sz w:val="28"/>
          <w:szCs w:val="28"/>
          <w:u w:val="none"/>
          <w:shd w:val="clear" w:color="auto" w:fill="FFFFFF"/>
          <w14:textFill>
            <w14:solidFill>
              <w14:schemeClr w14:val="tx1"/>
            </w14:solidFill>
          </w14:textFill>
        </w:rPr>
        <w:t>zihuan@ncu.edu.cn</w:t>
      </w:r>
      <w:r>
        <w:rPr>
          <w:rStyle w:val="10"/>
          <w:rFonts w:hint="default" w:ascii="Times New Roman" w:hAnsi="Times New Roman" w:eastAsia="仿宋_GB2312" w:cs="Times New Roman"/>
          <w:color w:val="000000" w:themeColor="text1"/>
          <w:spacing w:val="0"/>
          <w:sz w:val="28"/>
          <w:szCs w:val="28"/>
          <w:u w:val="none"/>
          <w:shd w:val="clear" w:color="auto" w:fill="FFFFFF"/>
          <w14:textFill>
            <w14:solidFill>
              <w14:schemeClr w14:val="tx1"/>
            </w14:solidFill>
          </w14:textFill>
        </w:rPr>
        <w:fldChar w:fldCharType="end"/>
      </w:r>
    </w:p>
    <w:p w14:paraId="339C790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网址：http://zhxy.ncu.edu.cn/  </w:t>
      </w:r>
    </w:p>
    <w:p w14:paraId="01DED543">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6AA2BE3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机械工程博士后科研流动站</w:t>
      </w:r>
    </w:p>
    <w:p w14:paraId="0B438F3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65B591E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南昌大学机械工程博士后科研流动站成立于2007年，依托于南昌大学先进制造学院。设有</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轻合金材料江西省重点实验室、智能机器人江西省</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重点实验室、江西省制造业信息化工程技术研究中心、江西省汽车电子工程技术研究中心、江西省新能源汽车产业技术创新战略联盟等重点教学研究平台。机电科学与工程研究所获批为省级“人才培养模式创新实验区”。南昌大学机械工程学科先后被评为江西省重中之重学科、江西省优势学科。现有博士生导师29人，国家</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级人才10</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人，中国青年科技奖1人，全国模范教师1人。承担“863”计划、国家自然科学基金、</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国家重点研发课题、</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国家重大基础研究计划等项目，课题经费超过了</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000万元。近年获得国家科技进步二等奖1项，省部级奖17项。</w:t>
      </w:r>
    </w:p>
    <w:p w14:paraId="3F72BCB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66247CA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高端医疗器械与装备、人工智能技术、生物材料及3D打印技术、稀土轻合金与成形、航空航天高温合金构件精密铸造、焊接智能化、有色金属半固态加工技术、原子级制造、表面界面微纳摩擦学理论和应用、超精密加工与测量技术、新一代混合绝缘子技术研究。</w:t>
      </w:r>
    </w:p>
    <w:p w14:paraId="274FEAD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619EBA5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负责人：艾凡荣   </w:t>
      </w:r>
    </w:p>
    <w:p w14:paraId="401B943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联系人：熊晨曦  </w:t>
      </w:r>
    </w:p>
    <w:p w14:paraId="14C5C55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电话：0791-83969622    </w:t>
      </w:r>
    </w:p>
    <w:p w14:paraId="17DDD37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邮箱：xcx@ncu.edu.cn</w:t>
      </w:r>
    </w:p>
    <w:p w14:paraId="5486A21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网址：http://jdgcxy.ncu.edu.cn/</w:t>
      </w:r>
    </w:p>
    <w:p w14:paraId="2CCE8BF3">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31601F97">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力学博士后科研流动站</w:t>
      </w:r>
    </w:p>
    <w:p w14:paraId="1D10209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2F34549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力学博士后科研流动站成立于2014年，是江西省第一个力学类博士后科研流动站。力学博士后流动站依托于南昌大学工程建设学院工程力学实验中心、工程力学研究所、结构工程研究所和南昌大学先进制造学院材料加工工程研究所、高等研究院非线性科学研究中心。力学学科经过50多年的发展，先后列入江西省高等学校重点建设学科、学校“211”工程重点建设学科和省示范硕士点。2005年获“固体力学”博士学位授予权，2006年工程力学实验中心成为江西省首个国家级实验教学示范中心，2013年工程力学实验中心又成为江西省首个国家级虚拟仿真实验教学中心。2017年力学一级学科博士点获批，形成包括力学本科</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力学硕士</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力学博士</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力学博士后流动站的完备人才培养体系。工程力学实验中心大楼面积达到6000平方米，2004年以来总共投入2300多万元，购置了各种先进的力学实验设备。在学科队伍建设上，南昌大学力学学科形成了</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国家级人才</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、江西省高校中青年学科带头人等创新人才和优秀学科带头人为核心，中青年学者为学术骨干的教学和科研团队。</w:t>
      </w:r>
    </w:p>
    <w:p w14:paraId="4EC2ADC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11E45BF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无网格等现代计算力学方法、航空工业材料与结构分析、工程结构力学分析与优化设计、工程结构防灾减灾与智能检测、现代智能光测力学、先进材料力学性能与增材制造、湍流机理与数值模拟、多功能材料力学性能分析与优化</w:t>
      </w:r>
    </w:p>
    <w:p w14:paraId="7AC5DC0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4647D5B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负责人：张纯        </w:t>
      </w:r>
    </w:p>
    <w:p w14:paraId="77EDF04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电话：18979135339    </w:t>
      </w:r>
    </w:p>
    <w:p w14:paraId="6318D82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邮箱：zhangchun@ncu.edu.cn</w:t>
      </w:r>
    </w:p>
    <w:p w14:paraId="34A1B49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网址：http://gcjs.ncu.edu.cn/</w:t>
      </w:r>
    </w:p>
    <w:p w14:paraId="4FE04BC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6B28145F">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临床医学博士后科研流动站</w:t>
      </w:r>
    </w:p>
    <w:p w14:paraId="71F0381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3494459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南昌大学临床医学博士后科研流动站（简称流动站）于2007年获准设立，是我省医学界博士后科研流动站零的突破，对我省医学卫生事业的发展具有深远意义。流动站主要依托学科为南昌大学临床医学学科，该学科是国家“211工程”重点建设学科、江西省高水平大学整体建设高校“一流学科”建设学科和教育部部省合建南昌大学对接产业发展优势学科。流动站以</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我校</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第一附属医院、第二附属医院等大型综合性三级甲等医院以及南昌大学</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相关</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科研机构为基地，拥有</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个国家临床重点</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专科，5个国家药物临床试验机构，1个教育部工程研究中心、1个教育部类器官资源库、1个教育部实体肿瘤分子靶向医药基础研究创新中心、2个江西省协同创新中心、江西省重点实验室等各类省级科研平台80余个，其中15个江西省临床医学研究中心。</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流动站</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自</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设立</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以来</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已逐步构建起</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一支结构</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科学</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合理、</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科研</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实力雄厚的</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导师</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队伍</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其中包括教育部创新团队1个、江西省优势科技创新团队9个。</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流动站依托强大的</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导师团队</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和高水平平台</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，培养出一批优秀医学科技人才，不仅为我省临床医学学科</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创新</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发展提供了关键人才支撑，更夯实了我省医疗卫生事业高质量发展的人才基础，为</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服务健康江西建设</w:t>
      </w:r>
      <w:r>
        <w:rPr>
          <w:rFonts w:hint="eastAsia" w:ascii="Times New Roman" w:hAnsi="Times New Roman" w:eastAsia="仿宋_GB2312" w:cs="Times New Roman"/>
          <w:color w:val="000000" w:themeColor="text1"/>
          <w:spacing w:val="0"/>
          <w:kern w:val="0"/>
          <w:sz w:val="28"/>
          <w:szCs w:val="28"/>
          <w:u w:val="none"/>
          <w14:textFill>
            <w14:solidFill>
              <w14:schemeClr w14:val="tx1"/>
            </w14:solidFill>
          </w14:textFill>
        </w:rPr>
        <w:t>注入了持久动力。</w:t>
      </w:r>
    </w:p>
    <w:p w14:paraId="7FFD3BA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流动站始终秉持 “开放、流动、联合、竞争” 的宗旨，每年面向省内外公开招收优秀博士毕业生进站开展研究；同时积极搭建协同创新平台，鼓励科研人员聚焦临床医学新科技前沿，围绕国家战略需求及江西省社会经济发展开展攻关，推动创新成果与区域发展需求深度对接，为我省临床医学学科发展及地方高质量发展提供支撑。</w:t>
      </w:r>
    </w:p>
    <w:p w14:paraId="620798D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t>2. 研究方向：</w:t>
      </w:r>
    </w:p>
    <w:p w14:paraId="7679417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内科学（心血管、消化、血液、呼吸、内分泌、代谢等）、外科学（烧伤、泌尿、肝胆、心胸、矫形、创烧伤等）、神经病学、病理学、影像学、肿瘤学、耳鼻咽喉科学、眼科学、妇产科学、口腔医学、康复医学、麻醉学、分子医学、细胞精准治疗、免疫与炎症、智能医学影像、医学遗传与基因治疗、输血医学、营养与健康管理等。</w:t>
      </w:r>
    </w:p>
    <w:p w14:paraId="70ABB5A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t>3. 联系方式：</w:t>
      </w:r>
    </w:p>
    <w:p w14:paraId="1525372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负责人：潘秉兴</w:t>
      </w:r>
    </w:p>
    <w:p w14:paraId="335609A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联系人：陈莉</w:t>
      </w:r>
    </w:p>
    <w:p w14:paraId="6583A06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电 话：0791-86362537</w:t>
      </w:r>
    </w:p>
    <w:p w14:paraId="44EC877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邮 箱：</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instrText xml:space="preserve"> HYPERLINK "mailto:chenli@ncu.edu.cn" </w:instrTex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fldChar w:fldCharType="separate"/>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chenli@ncu.edu.cn</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fldChar w:fldCharType="end"/>
      </w:r>
    </w:p>
    <w:p w14:paraId="64A7D91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w:t>
      </w:r>
      <w:r>
        <w:rPr>
          <w:rFonts w:hint="default"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https://jxmu.ncu.edu.cn/</w:t>
      </w:r>
    </w:p>
    <w:p w14:paraId="4AADE202">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095FB8B8">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马克思主义理论博士后科研流动站</w:t>
      </w:r>
    </w:p>
    <w:p w14:paraId="7FD3FF4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3A8B12A8">
      <w:pPr>
        <w:shd w:val="clear" w:color="auto" w:fill="FFFFFF"/>
        <w:spacing w:line="480" w:lineRule="exact"/>
        <w:ind w:firstLine="560" w:firstLineChars="200"/>
        <w:rPr>
          <w:rFonts w:hint="eastAsia"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 xml:space="preserve">南昌大学马克思主义理论博士后科研流动站于 2014 年获批设立，由南昌大学马克思主义学院建设和发展，2006 年获马克思主义思想政治教育博士点，2018 年获马克思主义理论一级学科博士点，是江西省重点建设学科，先后获批江西省大学生思想政治教育研究中心、南昌大学中国特色社会主义理论体系研究中心、江西省南昌大学红色基因传承研究中心、南昌大学国家文化公园研究院、南昌大学印度研究中心等7大学术平台。 </w:t>
      </w:r>
    </w:p>
    <w:p w14:paraId="222169A6">
      <w:pPr>
        <w:shd w:val="clear" w:color="auto" w:fill="FFFFFF"/>
        <w:spacing w:line="480" w:lineRule="exact"/>
        <w:ind w:firstLine="560" w:firstLineChars="200"/>
        <w:rPr>
          <w:rFonts w:hint="eastAsia"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学院涌现出一批优秀教师：国家级人才2人，全国教育系统先进工作者1人，全国教育系统思想政治工作先进工作者1人，全国优秀教师1人，教育部高校思想政治理论课教学指导委员会委员2人，教育部新世纪优秀人才支持计划1人，教育部思政课名师工作室负责人1人，全国高校思想政治理论课教师影响力标兵人物1人，全国高校思想政治理论课教师影响力人物1人，全国高校思想政治理论课教学能手2人，全国高校优秀中青年思想政治理论课教师择优资助计划4人，省级人才6人，江西省优秀教师1人，江西省高校“十大优秀思想政治理论课教师”2人，省级教学名师1人，江西省思想政治理论课教学名师4人，江西省教育系统师德标兵1人，江西省“百名优秀思想政治理论课教师”2人，江西省高校金牌青年教师（教学名师）1人，宝钢教育基金优秀教师奖3人。</w:t>
      </w:r>
    </w:p>
    <w:p w14:paraId="49CC2ABD">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最近几年来，获批国家社科基金重点、一般等项目30余项，教育部高校思政课教师研究专项重大课题攻关项目、一般项目等20余项，产出了一批有影响的科研成果。在《马克思主义研究》《中共党史研究》《经济日报》《光明日报》等学术刊物上发表论文500余篇；出版专著40余部；荣获全国及省部级优秀成果奖20余项；研究报告获省部级领导批示及省部级单位文件采纳共40余篇。</w:t>
      </w:r>
    </w:p>
    <w:p w14:paraId="03747D02">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2.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研究方向：</w:t>
      </w:r>
    </w:p>
    <w:p w14:paraId="6761608A">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马克思主义基本原理、马克思主义中国化、思想政治教育、中国近现代史基本问题研究</w:t>
      </w:r>
    </w:p>
    <w:p w14:paraId="37C1E57D">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3.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联系方式：</w:t>
      </w:r>
    </w:p>
    <w:p w14:paraId="1D7C78AB">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负责人：雷振文  </w:t>
      </w:r>
    </w:p>
    <w:p w14:paraId="11AEDE06">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联系人：陶颖怡 </w:t>
      </w:r>
    </w:p>
    <w:p w14:paraId="3FD66938">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电话：0791-83969447    </w:t>
      </w:r>
    </w:p>
    <w:p w14:paraId="7F6F32B9">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邮箱：mkszyxy@ncu.edu.cn</w:t>
      </w:r>
    </w:p>
    <w:p w14:paraId="24685313">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网址：http://szb.ncu.edu.cn/</w:t>
      </w:r>
    </w:p>
    <w:p w14:paraId="21A4DE6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74570F3A">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highlight w:val="none"/>
          <w:u w:val="none"/>
          <w:shd w:val="clear" w:color="FFFFFF" w:fill="D9D9D9"/>
          <w14:textFill>
            <w14:solidFill>
              <w14:schemeClr w14:val="tx1"/>
            </w14:solidFill>
          </w14:textFill>
        </w:rPr>
        <w:t>生物学博士后科研流动站</w:t>
      </w:r>
    </w:p>
    <w:p w14:paraId="443E89F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简介：</w:t>
      </w:r>
    </w:p>
    <w:p w14:paraId="7F26EFD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lang w:val="en-US" w:eastAsia="zh"/>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南昌大学生物学博士后科研流动站于2012年获准设立。</w:t>
      </w:r>
      <w:r>
        <w:rPr>
          <w:rFonts w:hint="eastAsia"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八十五年薪火相传，是华中地区生物学科学研究和人才培养的重要基地，《植物学与动物学》《生物学与生物化学》和《分子生物学与遗传学》进入ESI全球排名前1%。</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学院拥有生物科学、生物技术、生态学和水产养殖学四个本科专业。人才队伍方面，已经形成了一支老中青结合，年龄学历学缘职称结构更加合理的学科队伍，其中科技部973项目首席科学家及重点研发计划负责人</w:t>
      </w:r>
      <w:r>
        <w:rPr>
          <w:rFonts w:hint="default"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名、教育部教学指导委员会委员</w:t>
      </w:r>
      <w:r>
        <w:rPr>
          <w:rFonts w:hint="default"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名、国家贝类产业技术体系岗位科学家2人</w:t>
      </w:r>
      <w:r>
        <w:rPr>
          <w:rFonts w:hint="default" w:ascii="Times New Roman" w:hAnsi="Times New Roman" w:eastAsia="仿宋_GB2312" w:cs="Times New Roman"/>
          <w:color w:val="000000" w:themeColor="text1"/>
          <w:spacing w:val="0"/>
          <w:kern w:val="0"/>
          <w:sz w:val="28"/>
          <w:szCs w:val="28"/>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highlight w:val="none"/>
          <w:u w:val="none"/>
          <w:lang w:eastAsia="zh"/>
          <w14:textFill>
            <w14:solidFill>
              <w14:schemeClr w14:val="tx1"/>
            </w14:solidFill>
          </w14:textFill>
        </w:rPr>
        <w:t>全国模范教师</w:t>
      </w:r>
      <w:r>
        <w:rPr>
          <w:rFonts w:hint="default"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28"/>
          <w:szCs w:val="28"/>
          <w:highlight w:val="none"/>
          <w:u w:val="none"/>
          <w:lang w:eastAsia="zh"/>
          <w14:textFill>
            <w14:solidFill>
              <w14:schemeClr w14:val="tx1"/>
            </w14:solidFill>
          </w14:textFill>
        </w:rPr>
        <w:t>人，</w:t>
      </w:r>
      <w:r>
        <w:rPr>
          <w:rFonts w:hint="default"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江西省教学名师（金牌教师）4人</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。近5年来，培养博士硕士研究生</w:t>
      </w:r>
      <w:r>
        <w:rPr>
          <w:rFonts w:hint="eastAsia" w:ascii="Times New Roman" w:hAnsi="Times New Roman" w:eastAsia="仿宋_GB2312" w:cs="Times New Roman"/>
          <w:color w:val="000000" w:themeColor="text1"/>
          <w:spacing w:val="0"/>
          <w:kern w:val="0"/>
          <w:sz w:val="28"/>
          <w:szCs w:val="28"/>
          <w:highlight w:val="none"/>
          <w:u w:val="none"/>
          <w:lang w:val="en-US" w:eastAsia="zh-CN"/>
          <w14:textFill>
            <w14:solidFill>
              <w14:schemeClr w14:val="tx1"/>
            </w14:solidFill>
          </w14:textFill>
        </w:rPr>
        <w:t>754</w:t>
      </w: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人。锚定国家和江西地方需求，</w:t>
      </w:r>
      <w:r>
        <w:rPr>
          <w:rFonts w:hint="default" w:ascii="Times New Roman" w:hAnsi="Times New Roman" w:eastAsia="仿宋_GB2312" w:cs="Times New Roman"/>
          <w:color w:val="000000" w:themeColor="text1"/>
          <w:spacing w:val="0"/>
          <w:kern w:val="0"/>
          <w:sz w:val="28"/>
          <w:szCs w:val="28"/>
          <w:highlight w:val="none"/>
          <w:u w:val="none"/>
          <w:lang w:val="en-US" w:eastAsia="zh"/>
          <w14:textFill>
            <w14:solidFill>
              <w14:schemeClr w14:val="tx1"/>
            </w14:solidFill>
          </w14:textFill>
        </w:rPr>
        <w:t>学院近五年主持承担国家重点研发计划3项、国家自然科学基金重点项目1项、国家自然科学基金重大研究计划培育项目1项、农业农村部重点项目1项、“十四五”国家现代农业产业技术体系1项、国家自然科学基金和地方各类项目300项以上、制定国家行业标准1项、新品种2个、江西省地方标准5项。发表包括Science和Nature子刊、PNAS在内SCI论文400余篇、授权专利40余项，派出江西省科技特派员30余人。</w:t>
      </w:r>
    </w:p>
    <w:p w14:paraId="7A8A17C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研究方向：</w:t>
      </w:r>
    </w:p>
    <w:p w14:paraId="19E6EE3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植物种质资源开发与利用，珍稀濒危植物的回归与保育，植物生态与进化生物学，植物基因编辑与种质创新，水生生物多样性与基因组学，生物防治，流域生物多样性及资源可持续利用，环境微生物资源与应用，人类衰老，水产动物遗传育种与健康养殖。</w:t>
      </w:r>
    </w:p>
    <w:p w14:paraId="5ADC92B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highlight w:val="none"/>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highlight w:val="none"/>
          <w:u w:val="none"/>
          <w14:textFill>
            <w14:solidFill>
              <w14:schemeClr w14:val="tx1"/>
            </w14:solidFill>
          </w14:textFill>
        </w:rPr>
        <w:t>联系方式： </w:t>
      </w:r>
    </w:p>
    <w:p w14:paraId="1D74B3D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负责人：夏斌  </w:t>
      </w:r>
    </w:p>
    <w:p w14:paraId="266DC99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联系人：黄娴 </w:t>
      </w:r>
    </w:p>
    <w:p w14:paraId="508459E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电话：0791-83968261  </w:t>
      </w:r>
    </w:p>
    <w:p w14:paraId="62F2958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邮箱：huangxian@ncu.edu.cn</w:t>
      </w:r>
    </w:p>
    <w:p w14:paraId="63B66AB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highlight w:val="none"/>
          <w:u w:val="none"/>
          <w14:textFill>
            <w14:solidFill>
              <w14:schemeClr w14:val="tx1"/>
            </w14:solidFill>
          </w14:textFill>
        </w:rPr>
        <w:t>网址：http://bio.ncu.edu.cn/</w:t>
      </w:r>
    </w:p>
    <w:p w14:paraId="55C94D7E">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5F65A07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哲学博士后科研流动站</w:t>
      </w:r>
    </w:p>
    <w:p w14:paraId="310E358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17838ECC">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南昌大学哲学博士后科研流动站</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设立</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于2023年。该流动站依托于南昌大学人文学院哲学系</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江西省南昌大学江右哲学研究中心</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南昌大学宋明理学研究中心等平台</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。南昌大学哲学系肇始于原江西大学哲学系，自1958年招收哲学专业本科生，至今已有</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近70</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年的办学历史，盈科而进</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目前已经培养出国家级人才张新国教授</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哲学系</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1984年开始招收中国哲学专业硕士生；2006年获批一级学科硕士点；2018年哲学系获批国家一级学科博士点；2021年进入国家级哲学一流本科建设行列，2023年获批哲学博士后流动站，是祖国中部哲学系</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中</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宋明理学研究、现象学与德国古典哲学研究、规范伦理学研究</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以及江西宗教研究</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等领域的重镇。学科布局完备：学科方向体系健全，目前在马克思主义哲学、中国哲学、外国哲学、伦理学、宗教学5个二级方向招收与培养</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硕士生、</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博士生</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与博士后</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在全面推进各学科发展的同时，重点发展中国哲学、外国哲学、伦理学优势方向。师资引育强劲：获批博士点以来，在引育留用基础上，师资实力愈来愈强劲，师资队伍不断壮大，结构合理，充满活力，潜力十足。专任教师3</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人，其中</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1人入选国家级人才，</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教授1</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人，二级教授2人，三级教授</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副教授11人，讲师16人。师资来自清华大学、北京大学、德国慕尼黑大学与柏林自由大学、美国西北大学、日本东北大学、韩国高丽大学等。学科方向带头人与学科领军人才逐年递增。平台建设完善：现有江西省高校人文社会科学重点研究基地江右哲学研究中心，另有哲学研究所、道德与宗教研究所、熊十力新儒学研究所、韩国文化研究所等科研机构，江西省哲学学会秘书处设在哲学系。2021年，南昌大学又成立“宋明理学研究中心”</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2025年创办《宋明理学研究》学术刊物</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多位教授在国家一级学会担任副会长、常务理事等学术兼职。学术交流频繁，在多个方向具有全球学术影响力。</w:t>
      </w:r>
    </w:p>
    <w:p w14:paraId="2309997A">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063766A4">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先秦哲学、宋明理学、现当代中国哲学、规范伦理学、美德伦理学、元伦理学、古希腊哲学、德国古典哲学与现象学、法国哲学、艺术哲学、技术哲学、美学、道家与道教哲学、佛教哲学、宗教学原理、历史哲学、语言哲学。</w:t>
      </w:r>
    </w:p>
    <w:p w14:paraId="216295B3">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1684A523">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负责人：詹世友</w:t>
      </w:r>
    </w:p>
    <w:p w14:paraId="5AF450D5">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联系人：张新国</w:t>
      </w:r>
    </w:p>
    <w:p w14:paraId="75E7D430">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电话：0791-83862915</w:t>
      </w:r>
    </w:p>
    <w:p w14:paraId="31EEE6F2">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邮箱：zhangxinguo212@163.com</w:t>
      </w:r>
    </w:p>
    <w:p w14:paraId="054DC947">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网址：http://rwxy.ncu.edu.cn</w:t>
      </w:r>
    </w:p>
    <w:p w14:paraId="0BF691CB">
      <w:pPr>
        <w:keepNext w:val="0"/>
        <w:keepLines w:val="0"/>
        <w:pageBreakBefore w:val="0"/>
        <w:widowControl w:val="0"/>
        <w:shd w:val="clear" w:color="auto" w:fill="FFFFFF"/>
        <w:kinsoku/>
        <w:wordWrap/>
        <w:overflowPunct/>
        <w:topLinePunct w:val="0"/>
        <w:autoSpaceDE/>
        <w:autoSpaceDN/>
        <w:bidi w:val="0"/>
        <w:adjustRightInd/>
        <w:snapToGrid/>
        <w:spacing w:line="49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0952FCE3">
      <w:pPr>
        <w:keepNext w:val="0"/>
        <w:keepLines w:val="0"/>
        <w:pageBreakBefore w:val="0"/>
        <w:widowControl w:val="0"/>
        <w:shd w:val="clear" w:color="auto" w:fill="FFFFFF"/>
        <w:kinsoku/>
        <w:wordWrap/>
        <w:overflowPunct/>
        <w:topLinePunct w:val="0"/>
        <w:autoSpaceDE/>
        <w:autoSpaceDN/>
        <w:bidi w:val="0"/>
        <w:adjustRightInd/>
        <w:snapToGrid/>
        <w:spacing w:line="49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新闻传播学博士后科研流动站</w:t>
      </w:r>
    </w:p>
    <w:p w14:paraId="18194042">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1860824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南昌大学新闻传播学博士后科研流动站成立于2023年。该流动站</w:t>
      </w:r>
      <w:r>
        <w:rPr>
          <w:rFonts w:hint="eastAsia" w:ascii="Times New Roman" w:hAnsi="Times New Roman" w:eastAsia="仿宋_GB2312" w:cs="Times New Roman"/>
          <w:color w:val="000000" w:themeColor="text1"/>
          <w:spacing w:val="0"/>
          <w:sz w:val="28"/>
          <w:szCs w:val="28"/>
          <w:u w:val="none"/>
          <w14:textFill>
            <w14:solidFill>
              <w14:schemeClr w14:val="tx1"/>
            </w14:solidFill>
          </w14:textFill>
        </w:rPr>
        <w:t>依托南昌大学新闻与传播学院</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与</w:t>
      </w:r>
      <w:r>
        <w:rPr>
          <w:rFonts w:hint="eastAsia" w:ascii="Times New Roman" w:hAnsi="Times New Roman" w:eastAsia="仿宋_GB2312" w:cs="Times New Roman"/>
          <w:color w:val="000000" w:themeColor="text1"/>
          <w:spacing w:val="0"/>
          <w:sz w:val="28"/>
          <w:szCs w:val="28"/>
          <w:u w:val="none"/>
          <w14:textFill>
            <w14:solidFill>
              <w14:schemeClr w14:val="tx1"/>
            </w14:solidFill>
          </w14:textFill>
        </w:rPr>
        <w:t>江西媒体融合发展研究中心、舆情监测与治理研究中心、中央苏区红色文化传播研究中心、江西高校国际传播研究中心4个省级智库和哲学社会科学重点研究基地等高层次平台，以及“中国新闻史学会党报党刊专业委员会”二级学会。</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南昌大学新闻与传播学院前身为江西大学新闻系，创办于1958年6月，是新中国创办较早的新闻学科办学点之一。现为江西省唯一一所与省委宣传部“部校共建”的新闻学院，系江西省唯一一个该学科</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具有</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博士</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后科研流动站</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单位</w:t>
      </w:r>
      <w:r>
        <w:rPr>
          <w:rFonts w:hint="eastAsia" w:ascii="Times New Roman" w:hAnsi="Times New Roman" w:eastAsia="仿宋_GB2312" w:cs="Times New Roman"/>
          <w:color w:val="000000" w:themeColor="text1"/>
          <w:spacing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同时也是江西省唯一一所高校中国新闻奖评选报送单位。</w:t>
      </w:r>
    </w:p>
    <w:p w14:paraId="37E4559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南昌大学新闻传播学科是江西省重点建设学科，新闻传播学一级学科博士点于2018年获批，形成了</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本科</w:t>
      </w:r>
      <w:r>
        <w:rPr>
          <w:rFonts w:hint="eastAsia" w:ascii="Times New Roman" w:hAnsi="Times New Roman" w:eastAsia="仿宋_GB2312" w:cs="Times New Roman"/>
          <w:color w:val="000000" w:themeColor="text1"/>
          <w:spacing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硕士</w:t>
      </w:r>
      <w:r>
        <w:rPr>
          <w:rFonts w:hint="eastAsia" w:ascii="Times New Roman" w:hAnsi="Times New Roman" w:eastAsia="仿宋_GB2312" w:cs="Times New Roman"/>
          <w:color w:val="000000" w:themeColor="text1"/>
          <w:spacing w:val="0"/>
          <w:sz w:val="28"/>
          <w:szCs w:val="28"/>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博士</w:t>
      </w:r>
      <w:r>
        <w:rPr>
          <w:rFonts w:hint="eastAsia" w:ascii="Times New Roman" w:hAnsi="Times New Roman" w:eastAsia="仿宋_GB2312" w:cs="Times New Roman"/>
          <w:color w:val="000000" w:themeColor="text1"/>
          <w:spacing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博士后贯通式新闻（传播）专业人才培养体系。</w:t>
      </w:r>
      <w:r>
        <w:rPr>
          <w:rFonts w:hint="eastAsia" w:ascii="Times New Roman" w:hAnsi="Times New Roman" w:eastAsia="仿宋_GB2312" w:cs="Times New Roman"/>
          <w:color w:val="000000" w:themeColor="text1"/>
          <w:spacing w:val="0"/>
          <w:sz w:val="28"/>
          <w:szCs w:val="28"/>
          <w:u w:val="none"/>
          <w14:textFill>
            <w14:solidFill>
              <w14:schemeClr w14:val="tx1"/>
            </w14:solidFill>
          </w14:textFill>
        </w:rPr>
        <w:t>科研方面现形成了红色文化传播、食品健康传播、影视传播和新媒体传播</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等优势特色领域。</w:t>
      </w:r>
      <w:r>
        <w:rPr>
          <w:rFonts w:hint="eastAsia" w:ascii="Times New Roman" w:hAnsi="Times New Roman" w:eastAsia="仿宋_GB2312" w:cs="Times New Roman"/>
          <w:color w:val="000000" w:themeColor="text1"/>
          <w:spacing w:val="0"/>
          <w:sz w:val="28"/>
          <w:szCs w:val="28"/>
          <w:u w:val="none"/>
          <w14:textFill>
            <w14:solidFill>
              <w14:schemeClr w14:val="tx1"/>
            </w14:solidFill>
          </w14:textFill>
        </w:rPr>
        <w:t>近些年来，新增国家社科基金重大招标、重点项目、中宣部特别委托项目、中华学术外译项目、教育部哲学社会科学研究项目等国家级项目30余项，荣获江西省社科优秀成果一、二等奖10余项，在《新闻与传播研究》《马克思主义研究》《求是》等高水平期刊发表学术论文70余篇，20余篇研究报告获省领导肯定性批示并实现成果转化，形成与国家和江西经济社会发展战略的切实对接。</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新闻传播学博士后科研流动站拥有一支学科、年龄、职称结构合理，教学能力强、学术训练系统的教师队伍，</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有国家级人才</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、教育部新闻传播学类专业教指委委员、教育部“宝钢”优秀教师、教育部创新创业优秀导师、全国广播影视“百优理论人才”，</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省部级人才</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等。</w:t>
      </w:r>
    </w:p>
    <w:p w14:paraId="61250F8E">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5F76B5E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新闻传播史论、网络与新媒体、红色文化传播、国际传播、</w:t>
      </w:r>
      <w:r>
        <w:rPr>
          <w:rFonts w:hint="eastAsia" w:ascii="Times New Roman" w:hAnsi="Times New Roman" w:eastAsia="仿宋_GB2312" w:cs="Times New Roman"/>
          <w:color w:val="000000" w:themeColor="text1"/>
          <w:spacing w:val="0"/>
          <w:sz w:val="28"/>
          <w:szCs w:val="28"/>
          <w:u w:val="none"/>
          <w:lang w:val="en-US" w:eastAsia="zh-CN"/>
          <w14:textFill>
            <w14:solidFill>
              <w14:schemeClr w14:val="tx1"/>
            </w14:solidFill>
          </w14:textFill>
        </w:rPr>
        <w:t>健康传播、</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影视传播、政治传播、文旅传播、媒介社会学、家庭传播等。</w:t>
      </w:r>
    </w:p>
    <w:p w14:paraId="7EC65479">
      <w:pPr>
        <w:keepNext w:val="0"/>
        <w:keepLines w:val="0"/>
        <w:pageBreakBefore w:val="0"/>
        <w:widowControl w:val="0"/>
        <w:shd w:val="clear" w:color="auto" w:fill="FFFFFF"/>
        <w:kinsoku/>
        <w:wordWrap/>
        <w:overflowPunct/>
        <w:topLinePunct w:val="0"/>
        <w:autoSpaceDE/>
        <w:autoSpaceDN/>
        <w:bidi w:val="0"/>
        <w:adjustRightInd/>
        <w:snapToGrid/>
        <w:spacing w:line="49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2A8B1BF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负责人：陈信凌 </w:t>
      </w:r>
    </w:p>
    <w:p w14:paraId="4ADEC23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联系人：张丽</w:t>
      </w:r>
    </w:p>
    <w:p w14:paraId="6E449EE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电话：0791-83968721</w:t>
      </w:r>
    </w:p>
    <w:p w14:paraId="0295308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邮箱：zhanglili@ncu.edu.cn</w:t>
      </w:r>
    </w:p>
    <w:p w14:paraId="6860EF1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网址：</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instrText xml:space="preserve"> HYPERLINK "http://xwycb.ncu.edu.cn/" </w:instrTex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t>http://xwycb.ncu.edu.cn/</w:t>
      </w:r>
      <w:r>
        <w:rPr>
          <w:rFonts w:hint="default" w:ascii="Times New Roman" w:hAnsi="Times New Roman" w:eastAsia="仿宋_GB2312" w:cs="Times New Roman"/>
          <w:color w:val="000000" w:themeColor="text1"/>
          <w:spacing w:val="0"/>
          <w:sz w:val="28"/>
          <w:szCs w:val="28"/>
          <w:u w:val="none"/>
          <w14:textFill>
            <w14:solidFill>
              <w14:schemeClr w14:val="tx1"/>
            </w14:solidFill>
          </w14:textFill>
        </w:rPr>
        <w:fldChar w:fldCharType="end"/>
      </w:r>
    </w:p>
    <w:p w14:paraId="73090FE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default" w:ascii="Times New Roman" w:hAnsi="Times New Roman" w:eastAsia="仿宋_GB2312" w:cs="Times New Roman"/>
          <w:color w:val="000000" w:themeColor="text1"/>
          <w:spacing w:val="0"/>
          <w:sz w:val="28"/>
          <w:szCs w:val="28"/>
          <w:u w:val="none"/>
          <w14:textFill>
            <w14:solidFill>
              <w14:schemeClr w14:val="tx1"/>
            </w14:solidFill>
          </w14:textFill>
        </w:rPr>
      </w:pPr>
    </w:p>
    <w:p w14:paraId="53016DA9">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数学博士后科研流动站</w:t>
      </w:r>
    </w:p>
    <w:p w14:paraId="642678F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75A1E285">
      <w:pPr>
        <w:widowControl w:val="0"/>
        <w:shd w:val="clear" w:color="auto" w:fill="FFFFFF"/>
        <w:spacing w:line="480" w:lineRule="exact"/>
        <w:ind w:firstLine="560" w:firstLineChars="200"/>
        <w:jc w:val="both"/>
        <w:rPr>
          <w:rFonts w:hint="eastAsia" w:ascii="Times New Roman" w:hAnsi="Times New Roman" w:eastAsia="仿宋_GB2312" w:cs="Times New Roman"/>
          <w:color w:val="000000" w:themeColor="text1"/>
          <w:kern w:val="0"/>
          <w:sz w:val="28"/>
          <w:szCs w:val="28"/>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数学</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博士后科研流动站于2023年获</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批</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，依托单位为南昌大学</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数学与计算机学院数学系</w:t>
      </w:r>
      <w:r>
        <w:rPr>
          <w:rFonts w:ascii="Times New Roman" w:hAnsi="Times New Roman" w:eastAsia="仿宋_GB2312" w:cs="Times New Roman"/>
          <w:color w:val="000000" w:themeColor="text1"/>
          <w:spacing w:val="0"/>
          <w:kern w:val="0"/>
          <w:sz w:val="28"/>
          <w:szCs w:val="28"/>
          <w:u w:val="none"/>
          <w:lang w:bidi="ar-SA"/>
          <w14:textFill>
            <w14:solidFill>
              <w14:schemeClr w14:val="tx1"/>
            </w14:solidFill>
          </w14:textFill>
        </w:rPr>
        <w:t>。</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数学系始建于1958年，</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为江西省重点建设学科。基础数学硕士点是江西省首批硕士点之一，2013年</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获批</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自主设置“管理数学与决策工程”二级学科博士</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学位授权</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点，2021年获批数学一级学科博士</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学位授权</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点</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目前有教授30人、博士生导师</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34</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人。近五年，</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学科教师在国内外权威刊物上</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发表学术论文500余篇，其中被SCI收录论文400余篇，获国家级、省部级教学科研奖励16项，</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获批</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国家部委项目3项（科技部重大专项2项，国家</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人才项目</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1项），国家自然科学基金47项</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重点项目1项，</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国家级人才项目2项</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），各类省级人才项目19项。目前有国家级平台</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个（</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国家天元数学东南中心江西基地、</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空间信息智能感知技术工程研究中心1个）、省级平台2个（江西省网络空间与信息安全重点实验室、江西省智慧城市重点实验室），校级</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独立科研机构</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1个（南昌大学数学与交叉科学研究院）。</w:t>
      </w:r>
    </w:p>
    <w:p w14:paraId="0CBA02C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64EFBF2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基础数学、计算数学、应用数学、运筹学与控制论、概率论与数理统计、数据科学。</w:t>
      </w:r>
    </w:p>
    <w:p w14:paraId="5F960E6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w:t>
      </w:r>
    </w:p>
    <w:p w14:paraId="7B10944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负责人：汪祥 </w:t>
      </w:r>
    </w:p>
    <w:p w14:paraId="07393A7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联系人：张文咏     </w:t>
      </w:r>
    </w:p>
    <w:p w14:paraId="71A6357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电话：0791-8396950</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xml:space="preserve">   </w:t>
      </w:r>
    </w:p>
    <w:p w14:paraId="03473A3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zhangwenyong</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@ncu.edu.cn   </w:t>
      </w:r>
    </w:p>
    <w:p w14:paraId="5261995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网址：http://smcs.ncu.edu.cn/</w:t>
      </w:r>
    </w:p>
    <w:p w14:paraId="2030C40C">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6FE70A05">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物理学博士后科研流动站</w:t>
      </w:r>
    </w:p>
    <w:p w14:paraId="7C7CF69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10A04C7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南昌大学物理学博士后科研流动站于 2023 年获批设立，拥有空间信息智能感知技术教育部工程研究中心、江西省光电探测器重点实验室和江西省地球空间信息重点实验室。流动站主要围绕空间等离子体物理，磁约束等离子体，微纳光学与光子学，低维结构的光电性质，相对论、引力与宇宙学，以及量子热力学与统计物理等方向开展研究。流动站现有教学科研人员69人，包括教授22人，其中，国家级及省部级人才 13 人次，三年来培养硕士和博士研究生137 人，现有在读硕士生221人、博士生27人。流动站近5年来承担国家级及省部级科研项目45项，项目经费3000余万元，发表SCI/EI收录论文 469 篇，获批授权发明专利 13 项，获省级以上科研奖励12 项。物理学科2024年进入ESI全球前1%。</w:t>
      </w:r>
    </w:p>
    <w:p w14:paraId="64EE48D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val="en-US"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75ED567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空间等离子体物理，磁约束等离子体，微纳光学与光子学，低维结构的光电性质，相对论、引力与宇宙学，以及量子热力学与统计物理等</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p>
    <w:p w14:paraId="714AD37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 </w:t>
      </w:r>
    </w:p>
    <w:p w14:paraId="6955CD1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周猛</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xml:space="preserve">  </w:t>
      </w:r>
    </w:p>
    <w:p w14:paraId="23F69B5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孙庆华</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   </w:t>
      </w:r>
    </w:p>
    <w:p w14:paraId="729FD12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电话：0791-83969553    </w:t>
      </w:r>
    </w:p>
    <w:p w14:paraId="3AC93E9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Sunqh@ncu.edu.cn</w:t>
      </w:r>
    </w:p>
    <w:p w14:paraId="5916121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网址：http://spms.ncu.edu.cn/</w:t>
      </w:r>
    </w:p>
    <w:p w14:paraId="337CBD8E">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496A5F70">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水利工程博士后科研流动站</w:t>
      </w:r>
    </w:p>
    <w:p w14:paraId="734E20C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095AA325">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南昌大学水利工程博士后科研流动站成立于2023年，是江西省首个水利</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工程</w:t>
      </w:r>
      <w:r>
        <w:rPr>
          <w:rFonts w:ascii="Times New Roman" w:hAnsi="Times New Roman" w:eastAsia="仿宋_GB2312" w:cs="Times New Roman"/>
          <w:color w:val="000000" w:themeColor="text1"/>
          <w:kern w:val="0"/>
          <w:sz w:val="28"/>
          <w:szCs w:val="28"/>
          <w:u w:val="none"/>
          <w14:textFill>
            <w14:solidFill>
              <w14:schemeClr w14:val="tx1"/>
            </w14:solidFill>
          </w14:textFill>
        </w:rPr>
        <w:t>博士后科研流动站，</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紧密依托10个高水平科教平台</w:t>
      </w:r>
      <w:r>
        <w:rPr>
          <w:rFonts w:ascii="Times New Roman" w:hAnsi="Times New Roman" w:eastAsia="仿宋_GB2312" w:cs="Times New Roman"/>
          <w:color w:val="000000" w:themeColor="text1"/>
          <w:kern w:val="0"/>
          <w:sz w:val="28"/>
          <w:szCs w:val="28"/>
          <w:u w:val="none"/>
          <w14:textFill>
            <w14:solidFill>
              <w14:schemeClr w14:val="tx1"/>
            </w14:solidFill>
          </w14:textFill>
        </w:rPr>
        <w:t>。本博士后</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科研</w:t>
      </w:r>
      <w:r>
        <w:rPr>
          <w:rFonts w:ascii="Times New Roman" w:hAnsi="Times New Roman" w:eastAsia="仿宋_GB2312" w:cs="Times New Roman"/>
          <w:color w:val="000000" w:themeColor="text1"/>
          <w:kern w:val="0"/>
          <w:sz w:val="28"/>
          <w:szCs w:val="28"/>
          <w:u w:val="none"/>
          <w14:textFill>
            <w14:solidFill>
              <w14:schemeClr w14:val="tx1"/>
            </w14:solidFill>
          </w14:textFill>
        </w:rPr>
        <w:t>流动站依托的南昌大学水利工程学科</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，历经</w:t>
      </w:r>
      <w:r>
        <w:rPr>
          <w:rFonts w:ascii="Times New Roman" w:hAnsi="Times New Roman" w:eastAsia="仿宋_GB2312" w:cs="Times New Roman"/>
          <w:color w:val="000000" w:themeColor="text1"/>
          <w:kern w:val="0"/>
          <w:sz w:val="28"/>
          <w:szCs w:val="28"/>
          <w:u w:val="none"/>
          <w14:textFill>
            <w14:solidFill>
              <w14:schemeClr w14:val="tx1"/>
            </w14:solidFill>
          </w14:textFill>
        </w:rPr>
        <w:t>80余年发展，拥有江西省唯一的水利工程一级学科博士学位授权点</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、土木水利专业博士学位授权点</w:t>
      </w:r>
      <w:r>
        <w:rPr>
          <w:rFonts w:ascii="Times New Roman" w:hAnsi="Times New Roman" w:eastAsia="仿宋_GB2312" w:cs="Times New Roman"/>
          <w:color w:val="000000" w:themeColor="text1"/>
          <w:kern w:val="0"/>
          <w:sz w:val="28"/>
          <w:szCs w:val="28"/>
          <w:u w:val="none"/>
          <w14:textFill>
            <w14:solidFill>
              <w14:schemeClr w14:val="tx1"/>
            </w14:solidFill>
          </w14:textFill>
        </w:rPr>
        <w:t>，</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具有完备的</w:t>
      </w:r>
      <w:r>
        <w:rPr>
          <w:rFonts w:ascii="Times New Roman" w:hAnsi="Times New Roman" w:eastAsia="仿宋_GB2312" w:cs="Times New Roman"/>
          <w:color w:val="000000" w:themeColor="text1"/>
          <w:kern w:val="0"/>
          <w:sz w:val="28"/>
          <w:szCs w:val="28"/>
          <w:u w:val="none"/>
          <w14:textFill>
            <w14:solidFill>
              <w14:schemeClr w14:val="tx1"/>
            </w14:solidFill>
          </w14:textFill>
        </w:rPr>
        <w:t>本科</w:t>
      </w: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u w:val="none"/>
          <w14:textFill>
            <w14:solidFill>
              <w14:schemeClr w14:val="tx1"/>
            </w14:solidFill>
          </w14:textFill>
        </w:rPr>
        <w:t>硕士</w:t>
      </w: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u w:val="none"/>
          <w14:textFill>
            <w14:solidFill>
              <w14:schemeClr w14:val="tx1"/>
            </w14:solidFill>
          </w14:textFill>
        </w:rPr>
        <w:t>博士</w:t>
      </w: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r>
        <w:rPr>
          <w:rFonts w:ascii="Times New Roman" w:hAnsi="Times New Roman" w:eastAsia="仿宋_GB2312" w:cs="Times New Roman"/>
          <w:color w:val="000000" w:themeColor="text1"/>
          <w:kern w:val="0"/>
          <w:sz w:val="28"/>
          <w:szCs w:val="28"/>
          <w:u w:val="none"/>
          <w14:textFill>
            <w14:solidFill>
              <w14:schemeClr w14:val="tx1"/>
            </w14:solidFill>
          </w14:textFill>
        </w:rPr>
        <w:t>博士后人才培养体系。</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本流动站</w:t>
      </w:r>
      <w:r>
        <w:rPr>
          <w:rFonts w:ascii="Times New Roman" w:hAnsi="Times New Roman" w:eastAsia="仿宋_GB2312" w:cs="Times New Roman"/>
          <w:color w:val="000000" w:themeColor="text1"/>
          <w:kern w:val="0"/>
          <w:sz w:val="28"/>
          <w:szCs w:val="28"/>
          <w:u w:val="none"/>
          <w14:textFill>
            <w14:solidFill>
              <w14:schemeClr w14:val="tx1"/>
            </w14:solidFill>
          </w14:textFill>
        </w:rPr>
        <w:t>师资队伍雄厚，</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拥有一支在学科领域内具有前沿引领作用</w:t>
      </w:r>
      <w:r>
        <w:rPr>
          <w:rFonts w:ascii="Times New Roman" w:hAnsi="Times New Roman" w:eastAsia="仿宋_GB2312" w:cs="Times New Roman"/>
          <w:color w:val="000000" w:themeColor="text1"/>
          <w:kern w:val="0"/>
          <w:sz w:val="28"/>
          <w:szCs w:val="28"/>
          <w:u w:val="none"/>
          <w14:textFill>
            <w14:solidFill>
              <w14:schemeClr w14:val="tx1"/>
            </w14:solidFill>
          </w14:textFill>
        </w:rPr>
        <w:t>的科研团队</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，团队成员在相关领域获得20余项学科高层次人才计划支持</w:t>
      </w:r>
      <w:r>
        <w:rPr>
          <w:rFonts w:ascii="Times New Roman" w:hAnsi="Times New Roman" w:eastAsia="仿宋_GB2312" w:cs="Times New Roman"/>
          <w:color w:val="000000" w:themeColor="text1"/>
          <w:kern w:val="0"/>
          <w:sz w:val="28"/>
          <w:szCs w:val="28"/>
          <w:u w:val="none"/>
          <w14:textFill>
            <w14:solidFill>
              <w14:schemeClr w14:val="tx1"/>
            </w14:solidFill>
          </w14:textFill>
        </w:rPr>
        <w:t>。近3年，获批</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高水平科研</w:t>
      </w:r>
      <w:r>
        <w:rPr>
          <w:rFonts w:ascii="Times New Roman" w:hAnsi="Times New Roman" w:eastAsia="仿宋_GB2312" w:cs="Times New Roman"/>
          <w:color w:val="000000" w:themeColor="text1"/>
          <w:kern w:val="0"/>
          <w:sz w:val="28"/>
          <w:szCs w:val="28"/>
          <w:u w:val="none"/>
          <w14:textFill>
            <w14:solidFill>
              <w14:schemeClr w14:val="tx1"/>
            </w14:solidFill>
          </w14:textFill>
        </w:rPr>
        <w:t>项目40余项，各类项目研究经费累计到账近8000万元；发表高水平学术论文</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4</w:t>
      </w:r>
      <w:r>
        <w:rPr>
          <w:rFonts w:ascii="Times New Roman" w:hAnsi="Times New Roman" w:eastAsia="仿宋_GB2312" w:cs="Times New Roman"/>
          <w:color w:val="000000" w:themeColor="text1"/>
          <w:kern w:val="0"/>
          <w:sz w:val="28"/>
          <w:szCs w:val="28"/>
          <w:u w:val="none"/>
          <w14:textFill>
            <w14:solidFill>
              <w14:schemeClr w14:val="tx1"/>
            </w14:solidFill>
          </w14:textFill>
        </w:rPr>
        <w:t>00余篇，其中SCI/EI收录</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300余</w:t>
      </w:r>
      <w:r>
        <w:rPr>
          <w:rFonts w:ascii="Times New Roman" w:hAnsi="Times New Roman" w:eastAsia="仿宋_GB2312" w:cs="Times New Roman"/>
          <w:color w:val="000000" w:themeColor="text1"/>
          <w:kern w:val="0"/>
          <w:sz w:val="28"/>
          <w:szCs w:val="28"/>
          <w:u w:val="none"/>
          <w14:textFill>
            <w14:solidFill>
              <w14:schemeClr w14:val="tx1"/>
            </w14:solidFill>
          </w14:textFill>
        </w:rPr>
        <w:t>篇，授权国家发明专利</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3</w:t>
      </w:r>
      <w:r>
        <w:rPr>
          <w:rFonts w:ascii="Times New Roman" w:hAnsi="Times New Roman" w:eastAsia="仿宋_GB2312" w:cs="Times New Roman"/>
          <w:color w:val="000000" w:themeColor="text1"/>
          <w:kern w:val="0"/>
          <w:sz w:val="28"/>
          <w:szCs w:val="28"/>
          <w:u w:val="none"/>
          <w14:textFill>
            <w14:solidFill>
              <w14:schemeClr w14:val="tx1"/>
            </w14:solidFill>
          </w14:textFill>
        </w:rPr>
        <w:t>4项；</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培养了</w:t>
      </w:r>
      <w:r>
        <w:rPr>
          <w:rFonts w:ascii="Times New Roman" w:hAnsi="Times New Roman" w:eastAsia="仿宋_GB2312" w:cs="Times New Roman"/>
          <w:color w:val="000000" w:themeColor="text1"/>
          <w:kern w:val="0"/>
          <w:sz w:val="28"/>
          <w:szCs w:val="28"/>
          <w:u w:val="none"/>
          <w14:textFill>
            <w14:solidFill>
              <w14:schemeClr w14:val="tx1"/>
            </w14:solidFill>
          </w14:textFill>
        </w:rPr>
        <w:t>硕士和博士研究生150余人；荣获</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重要奖项8项</w:t>
      </w:r>
      <w:r>
        <w:rPr>
          <w:rFonts w:ascii="Times New Roman" w:hAnsi="Times New Roman" w:eastAsia="仿宋_GB2312" w:cs="Times New Roman"/>
          <w:color w:val="000000" w:themeColor="text1"/>
          <w:kern w:val="0"/>
          <w:sz w:val="28"/>
          <w:szCs w:val="28"/>
          <w:u w:val="none"/>
          <w14:textFill>
            <w14:solidFill>
              <w14:schemeClr w14:val="tx1"/>
            </w14:solidFill>
          </w14:textFill>
        </w:rPr>
        <w:t>、优秀研究生学位论文</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32</w:t>
      </w:r>
      <w:r>
        <w:rPr>
          <w:rFonts w:ascii="Times New Roman" w:hAnsi="Times New Roman" w:eastAsia="仿宋_GB2312" w:cs="Times New Roman"/>
          <w:color w:val="000000" w:themeColor="text1"/>
          <w:kern w:val="0"/>
          <w:sz w:val="28"/>
          <w:szCs w:val="28"/>
          <w:u w:val="none"/>
          <w14:textFill>
            <w14:solidFill>
              <w14:schemeClr w14:val="tx1"/>
            </w14:solidFill>
          </w14:textFill>
        </w:rPr>
        <w:t>篇、研究生科技创新和学科竞赛奖</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10</w:t>
      </w:r>
      <w:r>
        <w:rPr>
          <w:rFonts w:ascii="Times New Roman" w:hAnsi="Times New Roman" w:eastAsia="仿宋_GB2312" w:cs="Times New Roman"/>
          <w:color w:val="000000" w:themeColor="text1"/>
          <w:kern w:val="0"/>
          <w:sz w:val="28"/>
          <w:szCs w:val="28"/>
          <w:u w:val="none"/>
          <w14:textFill>
            <w14:solidFill>
              <w14:schemeClr w14:val="tx1"/>
            </w14:solidFill>
          </w14:textFill>
        </w:rPr>
        <w:t>0余项。</w:t>
      </w:r>
    </w:p>
    <w:p w14:paraId="73B0750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22CD6A6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水利水电工程全生命周期性能演化与控制、库坝系统风险评估与安全控制、库坝系统风险评估与安全控制、水工建筑物安全监控、鄱阳湖流域水文预报、流域水资源可持续高效利用、水工水力学与工程安全</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p>
    <w:p w14:paraId="2B3EC20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500A887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负责人：蒋水华       </w:t>
      </w:r>
    </w:p>
    <w:p w14:paraId="269D7D0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电话：0791-83969649      </w:t>
      </w:r>
    </w:p>
    <w:p w14:paraId="71A63B0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邮箱：sjiangaa@ncu.edu.cn</w:t>
      </w:r>
    </w:p>
    <w:p w14:paraId="1B08DCF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网址：http://gcjs.ncu.edu.cn/</w:t>
      </w:r>
    </w:p>
    <w:p w14:paraId="718B1602">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p>
    <w:p w14:paraId="726C2BDF">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基础医学博士后科研流动站</w:t>
      </w:r>
    </w:p>
    <w:p w14:paraId="6F03262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1BA15DB5">
      <w:pPr>
        <w:shd w:val="clear" w:color="auto" w:fill="FFFFFF"/>
        <w:spacing w:line="480" w:lineRule="exact"/>
        <w:ind w:firstLine="560" w:firstLineChars="200"/>
        <w:rPr>
          <w:rFonts w:hint="eastAsia"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南昌大学基础医学博士后科研流动站（以下简称流动站）于2023年获批设立，核心依托单位为南昌大学基础医学院。学院现拥有基础医学一级学科博士学位授权点和硕士学位授权点各1个，学科培养体系完备。学院师资力量雄厚，现有博士后合作导师中，国家级人才达十余人、省级人才三十余人，为博士后科研工作提供优质指导支撑。学院已凝练形成多个特色优势研究方向，涵盖干细胞与再生医学、神经系统功能与疾病、肿瘤精准医学、生殖健康与遗传性疾病等关键领域，研究方向聚焦前沿且贴合学科发展需求。学科建设成效显著，在基础医学相关领域，分子生物学与遗传学学科排名稳居ESI全球前 5‰，生物学与生物化学、神经科学与行为学、免疫学三大学科均进入ESI全球前1%，学科影响力持续提升。科研平台支撑坚实有力，学院拥有教育部类器官资源库、教育部实体肿瘤分子靶向医药基础研究创新中心、肿瘤生物学江西省重点实验室、脑科学与脑健康江西省重点实验室等多个省部级及以上重点实验室与科研平台，同时南昌大学生物医学创新研究院等校级优质平台深度联动，为流动站人才培养、科学研究及社会服务工作筑牢平台根基。近五年来，学院科研实力稳步提升，累计承担</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省部级及以上</w:t>
      </w:r>
      <w:r>
        <w:rPr>
          <w:rFonts w:ascii="Times New Roman" w:hAnsi="Times New Roman" w:eastAsia="仿宋_GB2312" w:cs="Times New Roman"/>
          <w:color w:val="000000" w:themeColor="text1"/>
          <w:kern w:val="0"/>
          <w:sz w:val="28"/>
          <w:szCs w:val="28"/>
          <w:u w:val="none"/>
          <w14:textFill>
            <w14:solidFill>
              <w14:schemeClr w14:val="tx1"/>
            </w14:solidFill>
          </w14:textFill>
        </w:rPr>
        <w:t>各类科研项目160项，科研总经费近8000万元；其中牵头承担国家自然科学基金项目79项，获批经费近5000万元；科研成果丰硕，共发表包括</w:t>
      </w:r>
      <w:r>
        <w:rPr>
          <w:rFonts w:ascii="Times New Roman" w:hAnsi="Times New Roman" w:eastAsia="仿宋_GB2312" w:cs="Times New Roman"/>
          <w:i/>
          <w:iCs/>
          <w:color w:val="000000" w:themeColor="text1"/>
          <w:kern w:val="0"/>
          <w:sz w:val="28"/>
          <w:szCs w:val="28"/>
          <w:u w:val="none"/>
          <w14:textFill>
            <w14:solidFill>
              <w14:schemeClr w14:val="tx1"/>
            </w14:solidFill>
          </w14:textFill>
        </w:rPr>
        <w:t>Nature Immunology</w:t>
      </w:r>
      <w:r>
        <w:rPr>
          <w:rFonts w:ascii="Times New Roman" w:hAnsi="Times New Roman" w:eastAsia="仿宋_GB2312" w:cs="Times New Roman"/>
          <w:color w:val="000000" w:themeColor="text1"/>
          <w:kern w:val="0"/>
          <w:sz w:val="28"/>
          <w:szCs w:val="28"/>
          <w:u w:val="none"/>
          <w14:textFill>
            <w14:solidFill>
              <w14:schemeClr w14:val="tx1"/>
            </w14:solidFill>
          </w14:textFill>
        </w:rPr>
        <w:t>在内的SCI</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源刊</w:t>
      </w:r>
      <w:r>
        <w:rPr>
          <w:rFonts w:ascii="Times New Roman" w:hAnsi="Times New Roman" w:eastAsia="仿宋_GB2312" w:cs="Times New Roman"/>
          <w:color w:val="000000" w:themeColor="text1"/>
          <w:kern w:val="0"/>
          <w:sz w:val="28"/>
          <w:szCs w:val="28"/>
          <w:u w:val="none"/>
          <w14:textFill>
            <w14:solidFill>
              <w14:schemeClr w14:val="tx1"/>
            </w14:solidFill>
          </w14:textFill>
        </w:rPr>
        <w:t>论文500余篇，</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荣获</w:t>
      </w:r>
      <w:r>
        <w:rPr>
          <w:rFonts w:ascii="Times New Roman" w:hAnsi="Times New Roman" w:eastAsia="仿宋_GB2312" w:cs="Times New Roman"/>
          <w:color w:val="000000" w:themeColor="text1"/>
          <w:kern w:val="0"/>
          <w:sz w:val="28"/>
          <w:szCs w:val="28"/>
          <w:u w:val="none"/>
          <w14:textFill>
            <w14:solidFill>
              <w14:schemeClr w14:val="tx1"/>
            </w14:solidFill>
          </w14:textFill>
        </w:rPr>
        <w:t>江西省自然科学奖等省部级以上科研奖励14项，学术贡献与科研水平广受认可。</w:t>
      </w:r>
    </w:p>
    <w:p w14:paraId="26D0C513">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2.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研究方向：</w:t>
      </w:r>
    </w:p>
    <w:p w14:paraId="180D549F">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干细胞与再生医学、神经系统功能与疾病、肿瘤精准医学、生殖健康与遗传性疾病</w:t>
      </w:r>
      <w:r>
        <w:rPr>
          <w:rFonts w:ascii="Times New Roman" w:hAnsi="Times New Roman" w:eastAsia="仿宋_GB2312" w:cs="Times New Roman"/>
          <w:color w:val="000000" w:themeColor="text1"/>
          <w:kern w:val="0"/>
          <w:sz w:val="28"/>
          <w:szCs w:val="28"/>
          <w:u w:val="none"/>
          <w14:textFill>
            <w14:solidFill>
              <w14:schemeClr w14:val="tx1"/>
            </w14:solidFill>
          </w14:textFill>
        </w:rPr>
        <w:t>、结构生物与药物研究、</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病原生物</w:t>
      </w:r>
      <w:r>
        <w:rPr>
          <w:rFonts w:ascii="Times New Roman" w:hAnsi="Times New Roman" w:eastAsia="仿宋_GB2312" w:cs="Times New Roman"/>
          <w:color w:val="000000" w:themeColor="text1"/>
          <w:kern w:val="0"/>
          <w:sz w:val="28"/>
          <w:szCs w:val="28"/>
          <w:u w:val="none"/>
          <w14:textFill>
            <w14:solidFill>
              <w14:schemeClr w14:val="tx1"/>
            </w14:solidFill>
          </w14:textFill>
        </w:rPr>
        <w:t>与免疫。</w:t>
      </w:r>
    </w:p>
    <w:p w14:paraId="7B476C4B">
      <w:pPr>
        <w:shd w:val="clear" w:color="auto" w:fill="FFFFFF"/>
        <w:spacing w:line="480" w:lineRule="exact"/>
        <w:ind w:firstLine="562"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lang w:eastAsia="zh-CN"/>
          <w14:textFill>
            <w14:solidFill>
              <w14:schemeClr w14:val="tx1"/>
            </w14:solidFill>
          </w14:textFill>
        </w:rPr>
        <w:t xml:space="preserve">3. </w:t>
      </w:r>
      <w:r>
        <w:rPr>
          <w:rFonts w:ascii="Times New Roman" w:hAnsi="Times New Roman" w:eastAsia="仿宋_GB2312" w:cs="Times New Roman"/>
          <w:b/>
          <w:bCs/>
          <w:color w:val="000000" w:themeColor="text1"/>
          <w:kern w:val="0"/>
          <w:sz w:val="28"/>
          <w:szCs w:val="28"/>
          <w:u w:val="none"/>
          <w14:textFill>
            <w14:solidFill>
              <w14:schemeClr w14:val="tx1"/>
            </w14:solidFill>
          </w14:textFill>
        </w:rPr>
        <w:t>联系方式：</w:t>
      </w:r>
    </w:p>
    <w:p w14:paraId="64B7C4CC">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负责人：</w:t>
      </w:r>
      <w:r>
        <w:rPr>
          <w:rFonts w:hint="eastAsia" w:ascii="Times New Roman" w:hAnsi="Times New Roman" w:eastAsia="仿宋_GB2312" w:cs="Times New Roman"/>
          <w:color w:val="000000" w:themeColor="text1"/>
          <w:kern w:val="0"/>
          <w:sz w:val="28"/>
          <w:szCs w:val="28"/>
          <w:u w:val="none"/>
          <w:lang w:val="en-US" w:eastAsia="zh-CN"/>
          <w14:textFill>
            <w14:solidFill>
              <w14:schemeClr w14:val="tx1"/>
            </w14:solidFill>
          </w14:textFill>
        </w:rPr>
        <w:t>熊敬维</w:t>
      </w:r>
      <w:r>
        <w:rPr>
          <w:rFonts w:ascii="Times New Roman" w:hAnsi="Times New Roman" w:eastAsia="仿宋_GB2312" w:cs="Times New Roman"/>
          <w:color w:val="000000" w:themeColor="text1"/>
          <w:kern w:val="0"/>
          <w:sz w:val="28"/>
          <w:szCs w:val="28"/>
          <w:u w:val="none"/>
          <w14:textFill>
            <w14:solidFill>
              <w14:schemeClr w14:val="tx1"/>
            </w14:solidFill>
          </w14:textFill>
        </w:rPr>
        <w:t>  </w:t>
      </w:r>
    </w:p>
    <w:p w14:paraId="33C0FCFD">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联系人：</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查梓彤</w:t>
      </w:r>
      <w:r>
        <w:rPr>
          <w:rFonts w:ascii="Times New Roman" w:hAnsi="Times New Roman" w:eastAsia="仿宋_GB2312" w:cs="Times New Roman"/>
          <w:color w:val="000000" w:themeColor="text1"/>
          <w:kern w:val="0"/>
          <w:sz w:val="28"/>
          <w:szCs w:val="28"/>
          <w:u w:val="none"/>
          <w14:textFill>
            <w14:solidFill>
              <w14:schemeClr w14:val="tx1"/>
            </w14:solidFill>
          </w14:textFill>
        </w:rPr>
        <w:t> </w:t>
      </w:r>
    </w:p>
    <w:p w14:paraId="6EC8C6AA">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电话：0791-86</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360762</w:t>
      </w:r>
      <w:r>
        <w:rPr>
          <w:rFonts w:ascii="Times New Roman" w:hAnsi="Times New Roman" w:eastAsia="仿宋_GB2312" w:cs="Times New Roman"/>
          <w:color w:val="000000" w:themeColor="text1"/>
          <w:kern w:val="0"/>
          <w:sz w:val="28"/>
          <w:szCs w:val="28"/>
          <w:u w:val="none"/>
          <w14:textFill>
            <w14:solidFill>
              <w14:schemeClr w14:val="tx1"/>
            </w14:solidFill>
          </w14:textFill>
        </w:rPr>
        <w:t xml:space="preserve">  </w:t>
      </w:r>
    </w:p>
    <w:p w14:paraId="1FBB1A6F">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邮 箱：</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zhazitong</w:t>
      </w:r>
      <w:r>
        <w:rPr>
          <w:rFonts w:ascii="Times New Roman" w:hAnsi="Times New Roman" w:eastAsia="仿宋_GB2312" w:cs="Times New Roman"/>
          <w:color w:val="000000" w:themeColor="text1"/>
          <w:kern w:val="0"/>
          <w:sz w:val="28"/>
          <w:szCs w:val="28"/>
          <w:u w:val="none"/>
          <w14:textFill>
            <w14:solidFill>
              <w14:schemeClr w14:val="tx1"/>
            </w14:solidFill>
          </w14:textFill>
        </w:rPr>
        <w:t>@ncu.edu.cn</w:t>
      </w:r>
    </w:p>
    <w:p w14:paraId="7DDB3F67">
      <w:pPr>
        <w:shd w:val="clear" w:color="auto" w:fill="FFFFFF"/>
        <w:spacing w:line="480" w:lineRule="exact"/>
        <w:ind w:firstLine="560" w:firstLineChars="200"/>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t>网址：http://sbms.ncu.edu.cn/</w:t>
      </w:r>
    </w:p>
    <w:p w14:paraId="530FA8ED">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pPr>
      <w:r>
        <w:rPr>
          <w:rFonts w:hint="default" w:ascii="黑体" w:hAnsi="黑体" w:eastAsia="黑体" w:cs="黑体"/>
          <w:b/>
          <w:bCs/>
          <w:color w:val="000000" w:themeColor="text1"/>
          <w:spacing w:val="0"/>
          <w:kern w:val="0"/>
          <w:sz w:val="30"/>
          <w:szCs w:val="28"/>
          <w:u w:val="none"/>
          <w:shd w:val="clear" w:color="FFFFFF" w:fill="D9D9D9"/>
          <w14:textFill>
            <w14:solidFill>
              <w14:schemeClr w14:val="tx1"/>
            </w14:solidFill>
          </w14:textFill>
        </w:rPr>
        <w:t>药学博士后科研流动站</w:t>
      </w:r>
    </w:p>
    <w:p w14:paraId="08238D2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简介：</w:t>
      </w:r>
    </w:p>
    <w:p w14:paraId="781FD27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南昌大学药学博士后科研流动站于2023年获准设立，主要依托单位为南昌大学药学院。药学学科为江西省高校“十二五”重点学科，是生物医学与大健康领域创新建设重点学科，是部省合建对接产业发展优势学科。有药学一级学科博士点、一级学科硕士点及专业学位硕士点，药理学与毒理学进入ESI世界排名前6.29‰，药学专业为国家一流专业建设点。流动站拥有生物工程药物及其技术国家地方联合工程研究中心、江西省临床药物代谢动力学、基础药理学、药物靶点与新药筛选重点实验室等12个高水平研究技术平台。有激光共聚焦、液质联用仪、核磁等大型仪器，总值约</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 xml:space="preserve">1. </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2亿元，各类实验室总面积达到14300平方米。流动站拥有一支学科齐全、结构合理、实力雄厚的人才队伍，其中包括著名校友、中国工程院院士丁健任名誉教授，国家级人才</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人，教育部高等学校药学类专业教学指导委员会委员1人，全国优秀科技工作者1人，省级人才</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3人，博士生导师</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27</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人。流动站近五年承担各级各类课题280项，发表SCI收录论文500余篇</w:t>
      </w:r>
      <w:r>
        <w:rPr>
          <w:rFonts w:hint="eastAsia" w:ascii="Times New Roman" w:hAnsi="Times New Roman" w:eastAsia="仿宋_GB2312" w:cs="Times New Roman"/>
          <w:color w:val="000000" w:themeColor="text1"/>
          <w:spacing w:val="0"/>
          <w:kern w:val="0"/>
          <w:sz w:val="28"/>
          <w:szCs w:val="28"/>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授权发明专利</w:t>
      </w:r>
      <w:r>
        <w:rPr>
          <w:rFonts w:hint="eastAsia" w:ascii="Times New Roman" w:hAnsi="Times New Roman" w:eastAsia="仿宋_GB2312" w:cs="Times New Roman"/>
          <w:color w:val="000000" w:themeColor="text1"/>
          <w:spacing w:val="0"/>
          <w:kern w:val="0"/>
          <w:sz w:val="28"/>
          <w:szCs w:val="28"/>
          <w:u w:val="none"/>
          <w:lang w:val="en-US" w:eastAsia="zh-CN"/>
          <w14:textFill>
            <w14:solidFill>
              <w14:schemeClr w14:val="tx1"/>
            </w14:solidFill>
          </w14:textFill>
        </w:rPr>
        <w:t>50余</w:t>
      </w: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项，荣获省部级及以上科研奖励10项，其中国家科技进步二等奖1项。百年学府，薪火相传，历代药学人赓续奋进，为国家培养了大批药学高层次专业人才。为更好服务人民生命健康和国家重大战略需求，锚定药学学科前沿研究方向，药学博士后科研流动站现面向省内外招收优秀博士毕业生进站，以助力人才强校、科技强省和国家创新驱动发展战略。</w:t>
      </w:r>
    </w:p>
    <w:p w14:paraId="0556E15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研究方向：</w:t>
      </w:r>
    </w:p>
    <w:p w14:paraId="6435D9B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药理学、临床药学、药物化学、药物分析学、药剂学</w:t>
      </w:r>
    </w:p>
    <w:p w14:paraId="3CB90E4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2"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 </w:t>
      </w:r>
      <w:r>
        <w:rPr>
          <w:rFonts w:hint="eastAsia" w:ascii="Times New Roman" w:hAnsi="Times New Roman" w:eastAsia="仿宋_GB2312" w:cs="Times New Roman"/>
          <w:b/>
          <w:bCs/>
          <w:color w:val="000000" w:themeColor="text1"/>
          <w:spacing w:val="0"/>
          <w:kern w:val="0"/>
          <w:sz w:val="28"/>
          <w:szCs w:val="28"/>
          <w:u w:val="none"/>
          <w:lang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t>联系方式：</w:t>
      </w:r>
    </w:p>
    <w:p w14:paraId="184A198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负责人：夏春华 </w:t>
      </w:r>
    </w:p>
    <w:p w14:paraId="76F0335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联系人：熊雪雪</w:t>
      </w:r>
    </w:p>
    <w:p w14:paraId="091871A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电话：0791-86361839</w:t>
      </w:r>
    </w:p>
    <w:p w14:paraId="2E4D9AD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邮箱：ncdxyxy2002@ncu.edu.cn</w:t>
      </w:r>
    </w:p>
    <w:p w14:paraId="14DD1AF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b/>
          <w:bCs/>
          <w:color w:val="000000" w:themeColor="text1"/>
          <w:spacing w:val="0"/>
          <w:kern w:val="0"/>
          <w:sz w:val="28"/>
          <w:szCs w:val="28"/>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28"/>
          <w:szCs w:val="28"/>
          <w:u w:val="none"/>
          <w14:textFill>
            <w14:solidFill>
              <w14:schemeClr w14:val="tx1"/>
            </w14:solidFill>
          </w14:textFill>
        </w:rPr>
        <w:t>网址：http://yxy.ncu.edu.cn/</w:t>
      </w:r>
    </w:p>
    <w:p w14:paraId="78FFC1FA">
      <w:pPr>
        <w:rPr>
          <w:color w:val="000000" w:themeColor="text1"/>
          <w:u w:val="none"/>
          <w14:textFill>
            <w14:solidFill>
              <w14:schemeClr w14:val="tx1"/>
            </w14:solidFill>
          </w14:textFill>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C8B5A-88B0-49B2-94E5-B1DBFCF037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433E64-7108-4185-8D7E-B38095421D2F}"/>
  </w:font>
  <w:font w:name="汉仪中宋简">
    <w:panose1 w:val="02010609000101010101"/>
    <w:charset w:val="80"/>
    <w:family w:val="auto"/>
    <w:pitch w:val="default"/>
    <w:sig w:usb0="00000001" w:usb1="080E0800" w:usb2="00000002" w:usb3="00000000" w:csb0="00040000" w:csb1="00000000"/>
  </w:font>
  <w:font w:name="楷体">
    <w:panose1 w:val="02010609060101010101"/>
    <w:charset w:val="86"/>
    <w:family w:val="modern"/>
    <w:pitch w:val="default"/>
    <w:sig w:usb0="800002BF" w:usb1="38CF7CFA" w:usb2="00000016" w:usb3="00000000" w:csb0="00040001" w:csb1="00000000"/>
    <w:embedRegular r:id="rId3" w:fontKey="{A8D6472D-968E-4FB1-AEE6-802C628B8526}"/>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embedRegular r:id="rId4" w:fontKey="{A837C1EA-3483-4134-8A12-F1D014C76D8C}"/>
  </w:font>
  <w:font w:name="楷体_GB2312">
    <w:panose1 w:val="02010609030101010101"/>
    <w:charset w:val="86"/>
    <w:family w:val="auto"/>
    <w:pitch w:val="default"/>
    <w:sig w:usb0="00000001" w:usb1="080E0000" w:usb2="00000000" w:usb3="00000000" w:csb0="00040000" w:csb1="00000000"/>
    <w:embedRegular r:id="rId5" w:fontKey="{73EC857B-9A1D-43D7-931B-C58FA0841C20}"/>
  </w:font>
  <w:font w:name="仿宋_GB2312">
    <w:panose1 w:val="02010609030101010101"/>
    <w:charset w:val="86"/>
    <w:family w:val="auto"/>
    <w:pitch w:val="default"/>
    <w:sig w:usb0="00000001" w:usb1="080E0000" w:usb2="00000000" w:usb3="00000000" w:csb0="00040000" w:csb1="00000000"/>
    <w:embedRegular r:id="rId6" w:fontKey="{6C22EDDD-4755-4EED-8108-7D9B6ED5A078}"/>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7" w:fontKey="{689DE9FB-36C2-455D-966A-EF5D6AB3C5CF}"/>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A6D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3EED">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563EED">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F409D"/>
    <w:rsid w:val="033C5499"/>
    <w:rsid w:val="04FA2D68"/>
    <w:rsid w:val="05C649F8"/>
    <w:rsid w:val="0C012C2E"/>
    <w:rsid w:val="0D30650C"/>
    <w:rsid w:val="0DEA7F4B"/>
    <w:rsid w:val="12F17558"/>
    <w:rsid w:val="13132FC2"/>
    <w:rsid w:val="15155054"/>
    <w:rsid w:val="173148F0"/>
    <w:rsid w:val="1C0227D6"/>
    <w:rsid w:val="1E200CF1"/>
    <w:rsid w:val="212B34DE"/>
    <w:rsid w:val="228F6446"/>
    <w:rsid w:val="2AE452FC"/>
    <w:rsid w:val="2DC773DC"/>
    <w:rsid w:val="306D59BC"/>
    <w:rsid w:val="32557489"/>
    <w:rsid w:val="35C62BB1"/>
    <w:rsid w:val="3A7C00E4"/>
    <w:rsid w:val="48D80297"/>
    <w:rsid w:val="4AAC4A05"/>
    <w:rsid w:val="4D913A3B"/>
    <w:rsid w:val="514069D9"/>
    <w:rsid w:val="52D12EEC"/>
    <w:rsid w:val="546B5E83"/>
    <w:rsid w:val="54AD25D8"/>
    <w:rsid w:val="57916E33"/>
    <w:rsid w:val="57FA3D86"/>
    <w:rsid w:val="583069A4"/>
    <w:rsid w:val="590B6DE1"/>
    <w:rsid w:val="5EA336D3"/>
    <w:rsid w:val="5ED66B02"/>
    <w:rsid w:val="5F335DCF"/>
    <w:rsid w:val="617213B6"/>
    <w:rsid w:val="62FD472A"/>
    <w:rsid w:val="65000502"/>
    <w:rsid w:val="6BFF1E65"/>
    <w:rsid w:val="6FB865A9"/>
    <w:rsid w:val="72C5138C"/>
    <w:rsid w:val="77114867"/>
    <w:rsid w:val="792F409D"/>
    <w:rsid w:val="79733540"/>
    <w:rsid w:val="7BDF0175"/>
    <w:rsid w:val="7DA00FED"/>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adjustRightInd w:val="0"/>
      <w:snapToGrid w:val="0"/>
      <w:spacing w:before="50" w:beforeLines="50" w:after="50" w:afterLines="50" w:line="288" w:lineRule="auto"/>
      <w:ind w:firstLine="480" w:firstLineChars="200"/>
      <w:jc w:val="both"/>
    </w:pPr>
    <w:rPr>
      <w:rFonts w:ascii="汉仪中宋简" w:hAnsi="汉仪中宋简" w:eastAsia="汉仪中宋简" w:cs="Times New Roman"/>
      <w:kern w:val="2"/>
      <w:sz w:val="24"/>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ind w:left="420" w:leftChars="200"/>
    </w:pPr>
  </w:style>
  <w:style w:type="paragraph" w:styleId="3">
    <w:name w:val="Body Text First Indent 2"/>
    <w:basedOn w:val="2"/>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rFonts w:cs="Times New Roman"/>
      <w:kern w:val="2"/>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rFonts w:ascii="汉仪中宋简" w:hAnsi="汉仪中宋简" w:eastAsia="汉仪中宋简"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9ba4e2c0-f6e5-4a08-9759-705a4fbeb496</errorID>
      <errorWord>万平米</errorWord>
      <group>L1_Word</group>
      <groupName>字词问题</groupName>
      <ability>L2_Typo</ability>
      <abilityName>字词错误</abilityName>
      <candidateList>
        <item>万平方米</item>
      </candidateList>
      <explain/>
      <paraID>673DEED6</paraID>
      <start>299</start>
      <end>302</end>
      <status>ignored</status>
      <modifiedWord/>
      <trackRevisions>false</trackRevisions>
    </reviewItem>
    <reviewItem>
      <errorID>e79f5a8c-1e2d-4de0-847c-2605e6e805f4</errorID>
      <errorWord>"</errorWord>
      <group>L1_Format</group>
      <groupName>格式问题</groupName>
      <ability>L2_HalfPunc</ability>
      <abilityName>全半角检查</abilityName>
      <candidateList>
        <item>“</item>
      </candidateList>
      <explain>文本全半角错误。</explain>
      <paraID>20FD0AD7</paraID>
      <start>126</start>
      <end>127</end>
      <status>modified</status>
      <modifiedWord>“</modifiedWord>
      <trackRevisions>false</trackRevisions>
    </reviewItem>
    <reviewItem>
      <errorID>3aa99948-8c22-4308-a68c-20ca2cb4eaa0</errorID>
      <errorWord>"</errorWord>
      <group>L1_Format</group>
      <groupName>格式问题</groupName>
      <ability>L2_HalfPunc</ability>
      <abilityName>全半角检查</abilityName>
      <candidateList>
        <item>”</item>
      </candidateList>
      <explain>文本全半角错误。</explain>
      <paraID>20FD0AD7</paraID>
      <start>132</start>
      <end>133</end>
      <status>modified</status>
      <modifiedWord>”</modifiedWord>
      <trackRevisions>false</trackRevisions>
    </reviewItem>
    <reviewItem>
      <errorID>6dbeeab5-7543-4523-a013-6247d132dff7</errorID>
      <errorWord>"</errorWord>
      <group>L1_Format</group>
      <groupName>格式问题</groupName>
      <ability>L2_HalfPunc</ability>
      <abilityName>全半角检查</abilityName>
      <candidateList>
        <item>“</item>
      </candidateList>
      <explain>文本全半角错误。</explain>
      <paraID>20FD0AD7</paraID>
      <start>330</start>
      <end>331</end>
      <status>modified</status>
      <modifiedWord>“</modifiedWord>
      <trackRevisions>false</trackRevisions>
    </reviewItem>
    <reviewItem>
      <errorID>81680c54-3ce7-45b7-a19a-b1666acdb788</errorID>
      <errorWord>"</errorWord>
      <group>L1_Format</group>
      <groupName>格式问题</groupName>
      <ability>L2_HalfPunc</ability>
      <abilityName>全半角检查</abilityName>
      <candidateList>
        <item>”</item>
      </candidateList>
      <explain>文本全半角错误。</explain>
      <paraID>20FD0AD7</paraID>
      <start>343</start>
      <end>344</end>
      <status>modified</status>
      <modifiedWord>”</modifiedWord>
      <trackRevisions>false</trackRevisions>
    </reviewItem>
    <reviewItem>
      <errorID>b751f969-01e8-458f-b6c0-9790e844289a</errorID>
      <errorWord>至少一项省级及以上</errorWord>
      <group>L1_Grammar</group>
      <groupName>语法问题</groupName>
      <ability>L2_Grammar</ability>
      <abilityName>语法错误</abilityName>
      <candidateList>
        <item>至少一项省级及</item>
      </candidateList>
      <explain/>
      <paraID>20FD0AD7</paraID>
      <start>512</start>
      <end>521</end>
      <status>ignored</status>
      <modifiedWord/>
      <trackRevisions>false</trackRevisions>
    </reviewItem>
    <reviewItem>
      <errorID>506a6a0f-39b5-47f5-b1eb-60a265deabbb</errorID>
      <errorWord>科技进步二等奖</errorWord>
      <group>L1_Political</group>
      <groupName>政治性问题</groupName>
      <ability>L2_Unpolitical</ability>
      <abilityName>政治敏感错误</abilityName>
      <candidateList>
        <item>科技进步奖二等奖</item>
      </candidateList>
      <explain/>
      <paraID>20FD0AD7</paraID>
      <start>537</start>
      <end>544</end>
      <status>ignored</status>
      <modifiedWord/>
      <trackRevisions>false</trackRevisions>
    </reviewItem>
    <reviewItem>
      <errorID>04c63a05-bbb7-46a0-b902-3a20a4955e9a</errorID>
      <errorWord>-</errorWord>
      <group>L1_Format</group>
      <groupName>格式问题</groupName>
      <ability>L2_HalfPunc</ability>
      <abilityName>全半角检查</abilityName>
      <candidateList>
        <item>－</item>
      </candidateList>
      <explain>文本全半角错误。</explain>
      <paraID>6F1F3DCF</paraID>
      <start>49</start>
      <end>50</end>
      <status>modified</status>
      <modifiedWord>－</modifiedWord>
      <trackRevisions>false</trackRevisions>
    </reviewItem>
    <reviewItem>
      <errorID>7201bc51-dc2b-48fe-85b6-f297e65c7bc7</errorID>
      <errorWord>-</errorWord>
      <group>L1_Format</group>
      <groupName>格式问题</groupName>
      <ability>L2_HalfPunc</ability>
      <abilityName>全半角检查</abilityName>
      <candidateList>
        <item>－</item>
      </candidateList>
      <explain>文本全半角错误。</explain>
      <paraID>6F1F3DCF</paraID>
      <start>52</start>
      <end>53</end>
      <status>modified</status>
      <modifiedWord>－</modifiedWord>
      <trackRevisions>false</trackRevisions>
    </reviewItem>
    <reviewItem>
      <errorID>78405bd5-097b-410f-b529-2445572cdbb6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787A231F</paraID>
      <start>78</start>
      <end>80</end>
      <status>modified</status>
      <modifiedWord>”“</modifiedWord>
      <trackRevisions>false</trackRevisions>
    </reviewItem>
    <reviewItem>
      <errorID>73475ba5-4065-4920-96fa-3c2f9b4a030b</errorID>
      <errorWord>双一流</errorWord>
      <group>L1_Political</group>
      <groupName>政治性问题</groupName>
      <ability>L2_Keyword</ability>
      <abilityName>固定表述</abilityName>
      <candidateList>
        <item>“双一流”</item>
      </candidateList>
      <explain>注意检查当前固定表述标点是否使用规范。</explain>
      <paraID>7F3D0D6E</paraID>
      <start>93</start>
      <end>96</end>
      <status>ignored</status>
      <modifiedWord/>
      <trackRevisions>false</trackRevisions>
    </reviewItem>
    <reviewItem>
      <errorID>79e279ff-ad2f-462a-ab4c-56ab75446bf5</errorID>
      <errorWord>-</errorWord>
      <group>L1_Format</group>
      <groupName>格式问题</groupName>
      <ability>L2_HalfPunc</ability>
      <abilityName>全半角检查</abilityName>
      <candidateList>
        <item>－</item>
      </candidateList>
      <explain>文本全半角错误。</explain>
      <paraID>70EEA219</paraID>
      <start>5</start>
      <end>6</end>
      <status>modified</status>
      <modifiedWord>－</modifiedWord>
      <trackRevisions>false</trackRevisions>
    </reviewItem>
    <reviewItem>
      <errorID>9f972b87-2f28-40be-8bb8-7460466a39d3</errorID>
      <errorWord>-</errorWord>
      <group>L1_Format</group>
      <groupName>格式问题</groupName>
      <ability>L2_HalfPunc</ability>
      <abilityName>全半角检查</abilityName>
      <candidateList>
        <item>－</item>
      </candidateList>
      <explain>文本全半角错误。</explain>
      <paraID>70EEA219</paraID>
      <start>8</start>
      <end>9</end>
      <status>modified</status>
      <modifiedWord>－</modifiedWord>
      <trackRevisions>false</trackRevisions>
    </reviewItem>
    <reviewItem>
      <errorID>cb70d4d6-c1a3-4a6a-8ec4-04931f27b3d9</errorID>
      <errorWord>超过了</errorWord>
      <group>L1_Word</group>
      <groupName>字词问题</groupName>
      <ability>L2_Typo</ability>
      <abilityName>字词错误</abilityName>
      <candidateList>
        <item>超过</item>
      </candidateList>
      <explain/>
      <paraID>79A24789</paraID>
      <start>278</start>
      <end>281</end>
      <status>ignored</status>
      <modifiedWord/>
      <trackRevisions>false</trackRevisions>
    </reviewItem>
    <reviewItem>
      <errorID>6a7f6800-4494-409e-a9c7-a52d46c31e7b</errorID>
      <errorWord>年</errorWord>
      <group>L1_Word</group>
      <groupName>字词问题</groupName>
      <ability>L2_Typo</ability>
      <abilityName>字词错误</abilityName>
      <candidateList>
        <item>年来</item>
      </candidateList>
      <explain/>
      <paraID>79A24789</paraID>
      <start>289</start>
      <end>290</end>
      <status>ignored</status>
      <modifiedWord/>
      <trackRevisions>false</trackRevisions>
    </reviewItem>
    <reviewItem>
      <errorID>f48c8bd8-fc69-405f-ae15-3d82a4c1042b</errorID>
      <errorWord>科技进步二等奖</errorWord>
      <group>L1_Political</group>
      <groupName>政治性问题</groupName>
      <ability>L2_Unpolitical</ability>
      <abilityName>政治敏感错误</abilityName>
      <candidateList>
        <item>科技进步奖二等奖</item>
      </candidateList>
      <explain/>
      <paraID>79A24789</paraID>
      <start>294</start>
      <end>301</end>
      <status>ignored</status>
      <modifiedWord/>
      <trackRevisions>false</trackRevisions>
    </reviewItem>
    <reviewItem>
      <errorID>27fc81a9-9cd3-47c4-932f-0365ad2a4685</errorID>
      <errorWord>获</errorWord>
      <group>L1_Word</group>
      <groupName>字词问题</groupName>
      <ability>L2_Typo</ability>
      <abilityName>字词错误</abilityName>
      <candidateList>
        <item>获得</item>
      </candidateList>
      <explain>〈动〉取得；得到（多用于抽象事物）：～好评｜～宝贵的经验｜～显著的成绩。</explain>
      <paraID>23C0A8FC</paraID>
      <start>183</start>
      <end>184</end>
      <status>ignored</status>
      <modifiedWord/>
      <trackRevisions>false</trackRevisions>
    </reviewItem>
    <reviewItem>
      <errorID>013f873c-55a2-41b9-85e6-33936e87dc77</errorID>
      <errorWord>-</errorWord>
      <group>L1_Format</group>
      <groupName>格式问题</groupName>
      <ability>L2_HalfPunc</ability>
      <abilityName>全半角检查</abilityName>
      <candidateList>
        <item>－</item>
      </candidateList>
      <explain>文本全半角错误。</explain>
      <paraID>23C0A8FC</paraID>
      <start>290</start>
      <end>291</end>
      <status>modified</status>
      <modifiedWord>－</modifiedWord>
      <trackRevisions>false</trackRevisions>
    </reviewItem>
    <reviewItem>
      <errorID>37129556-05c1-4fc1-be24-6f37ae26141b</errorID>
      <errorWord>-</errorWord>
      <group>L1_Format</group>
      <groupName>格式问题</groupName>
      <ability>L2_HalfPunc</ability>
      <abilityName>全半角检查</abilityName>
      <candidateList>
        <item>－</item>
      </candidateList>
      <explain>文本全半角错误。</explain>
      <paraID>23C0A8FC</paraID>
      <start>295</start>
      <end>296</end>
      <status>modified</status>
      <modifiedWord>－</modifiedWord>
      <trackRevisions>false</trackRevisions>
    </reviewItem>
    <reviewItem>
      <errorID>38912c10-e223-413e-90e4-1a24d4baf3d2</errorID>
      <errorWord>-</errorWord>
      <group>L1_Format</group>
      <groupName>格式问题</groupName>
      <ability>L2_HalfPunc</ability>
      <abilityName>全半角检查</abilityName>
      <candidateList>
        <item>－</item>
      </candidateList>
      <explain>文本全半角错误。</explain>
      <paraID>23C0A8FC</paraID>
      <start>300</start>
      <end>301</end>
      <status>modified</status>
      <modifiedWord>－</modifiedWord>
      <trackRevisions>false</trackRevisions>
    </reviewItem>
    <reviewItem>
      <errorID>1b0c5056-dfa6-4c4e-8fc9-c45933e83215</errorID>
      <errorWord>心</errorWord>
      <group>L1_Word</group>
      <groupName>字词问题</groupName>
      <ability>L2_Typo</ability>
      <abilityName>字词错误</abilityName>
      <candidateList>
        <item>心等</item>
      </candidateList>
      <explain/>
      <paraID>483F3EAF</paraID>
      <start>95</start>
      <end>96</end>
      <status>ignored</status>
      <modifiedWord/>
      <trackRevisions>false</trackRevisions>
    </reviewItem>
    <reviewItem>
      <errorID>a8fa6e8f-3c37-4213-a910-04bca0dff680</errorID>
      <errorWord>-</errorWord>
      <group>L1_Format</group>
      <groupName>格式问题</groupName>
      <ability>L2_HalfPunc</ability>
      <abilityName>全半角检查</abilityName>
      <candidateList>
        <item>－</item>
      </candidateList>
      <explain>文本全半角错误。</explain>
      <paraID>55609727</paraID>
      <start>136</start>
      <end>137</end>
      <status>modified</status>
      <modifiedWord>－</modifiedWord>
      <trackRevisions>false</trackRevisions>
    </reviewItem>
    <reviewItem>
      <errorID>439db224-9214-47cd-93d2-a03730140585</errorID>
      <errorWord>-</errorWord>
      <group>L1_Format</group>
      <groupName>格式问题</groupName>
      <ability>L2_HalfPunc</ability>
      <abilityName>全半角检查</abilityName>
      <candidateList>
        <item>－</item>
      </candidateList>
      <explain>文本全半角错误。</explain>
      <paraID>55609727</paraID>
      <start>139</start>
      <end>140</end>
      <status>modified</status>
      <modifiedWord>－</modifiedWord>
      <trackRevisions>false</trackRevisions>
    </reviewItem>
    <reviewItem>
      <errorID>43187722-a2fa-469c-9440-6bca886b55bb</errorID>
      <errorWord>-</errorWord>
      <group>L1_Format</group>
      <groupName>格式问题</groupName>
      <ability>L2_HalfPunc</ability>
      <abilityName>全半角检查</abilityName>
      <candidateList>
        <item>－</item>
      </candidateList>
      <explain>文本全半角错误。</explain>
      <paraID>55609727</paraID>
      <start>142</start>
      <end>143</end>
      <status>modified</status>
      <modifiedWord>－</modifiedWord>
      <trackRevisions>false</trackRevisions>
    </reviewItem>
    <reviewItem>
      <errorID>bb663fa6-43ec-4d76-b1a3-13578efc5348</errorID>
      <errorWord>时</errorWord>
      <group>L1_Word</group>
      <groupName>字词问题</groupName>
      <ability>L2_Typo</ability>
      <abilityName>字词错误</abilityName>
      <candidateList>
        <item>时与</item>
      </candidateList>
      <explain/>
      <paraID>5CDF3CC9</paraID>
      <start>418</start>
      <end>419</end>
      <status>ignored</status>
      <modifiedWord/>
      <trackRevisions>false</trackRevisions>
    </reviewItem>
    <reviewItem>
      <errorID>d356c5d8-0d13-4d21-97fa-1b1c06529531</errorID>
      <errorWord>,</errorWord>
      <group>L1_Format</group>
      <groupName>格式问题</groupName>
      <ability>L2_HalfPunc</ability>
      <abilityName>全半角检查</abilityName>
      <candidateList>
        <item>，</item>
      </candidateList>
      <explain>文本全半角错误。</explain>
      <paraID>5ADF9B7B</paraID>
      <start>431</start>
      <end>432</end>
      <status>modified</status>
      <modifiedWord>，</modifiedWord>
      <trackRevisions>false</trackRevisions>
    </reviewItem>
    <reviewItem>
      <errorID>f2a84519-9446-45ab-9740-e90614ec0809</errorID>
      <errorWord>科技进步二等奖</errorWord>
      <group>L1_Political</group>
      <groupName>政治性问题</groupName>
      <ability>L2_Unpolitical</ability>
      <abilityName>政治敏感错误</abilityName>
      <candidateList>
        <item>科技进步奖二等奖</item>
      </candidateList>
      <explain/>
      <paraID>5ADF9B7B</paraID>
      <start>463</start>
      <end>470</end>
      <status>ignored</status>
      <modifiedWord/>
      <trackRevisions>false</trackRevisions>
    </reviewItem>
    <reviewItem>
      <errorID>beeffb09-36a0-4fb8-bdf8-a7d82ca433bf</errorID>
      <errorWord>好</errorWord>
      <group>L1_Word</group>
      <groupName>字词问题</groupName>
      <ability>L2_Typo</ability>
      <abilityName>字词错误</abilityName>
      <candidateList>
        <item>好地</item>
      </candidateList>
      <explain/>
      <paraID>5ADF9B7B</paraID>
      <start>513</start>
      <end>514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38a38-723e-4ca8-8da2-cd6aa3db87b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11301</Words>
  <Characters>12723</Characters>
  <Lines>0</Lines>
  <Paragraphs>0</Paragraphs>
  <TotalTime>7</TotalTime>
  <ScaleCrop>false</ScaleCrop>
  <LinksUpToDate>false</LinksUpToDate>
  <CharactersWithSpaces>12929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2026-03-03T03:47:00Z</dcterms:created>
  <dc:creator>守望、</dc:creator>
  <cp:lastModifiedBy>CR7</cp:lastModifiedBy>
  <dcterms:modified xsi:type="dcterms:W3CDTF">2026-03-11T06:58:42Z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FF000771989E4120B88149B7552C5DD7_13</vt:lpwstr>
  </property>
  <property fmtid="{D5CDD505-2E9C-101B-9397-08002B2CF9AE}" pid="4" name="KSOTemplateDocerSaveRecord">
    <vt:lpwstr>eyJoZGlkIjoiNjJmMmM2NTFmNjhjZmNhZmVkNmJkZmY2ZDM5ZGEzOGUiLCJ1c2VySWQiOiIyODg5MTY4ODUifQ==</vt:lpwstr>
  </property>
</Properties>
</file>